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CA0792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1C38DC">
        <w:t>St Mark’s CE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E6A96C8" w:rsidR="002940F3" w:rsidRDefault="001C38DC">
            <w:pPr>
              <w:pStyle w:val="TableRow"/>
            </w:pPr>
            <w:r>
              <w:t>16</w:t>
            </w:r>
            <w:r w:rsidR="0021611C">
              <w:t>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6C91569" w:rsidR="002940F3" w:rsidRDefault="008E16CE">
            <w:pPr>
              <w:pStyle w:val="TableRow"/>
            </w:pPr>
            <w:r>
              <w:t>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4AE5E" w14:textId="77777777" w:rsidR="002940F3" w:rsidRDefault="001C38DC">
            <w:pPr>
              <w:pStyle w:val="TableRow"/>
            </w:pPr>
            <w:r>
              <w:t>2023/4</w:t>
            </w:r>
          </w:p>
          <w:p w14:paraId="68179743" w14:textId="77777777" w:rsidR="001C38DC" w:rsidRDefault="001C38DC">
            <w:pPr>
              <w:pStyle w:val="TableRow"/>
            </w:pPr>
            <w:r>
              <w:t>2024/5</w:t>
            </w:r>
          </w:p>
          <w:p w14:paraId="2A7D54BF" w14:textId="55546DBD" w:rsidR="001C38DC" w:rsidRDefault="001C38DC">
            <w:pPr>
              <w:pStyle w:val="TableRow"/>
            </w:pPr>
            <w:r>
              <w:t>2025/6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AF51A88" w:rsidR="002940F3" w:rsidRDefault="0021611C">
            <w:pPr>
              <w:pStyle w:val="TableRow"/>
            </w:pPr>
            <w:r>
              <w:t>November</w:t>
            </w:r>
            <w:r w:rsidR="001C38DC">
              <w:t xml:space="preserve">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21E0100" w:rsidR="002940F3" w:rsidRDefault="0021611C">
            <w:pPr>
              <w:pStyle w:val="TableRow"/>
            </w:pPr>
            <w:r>
              <w:t>November</w:t>
            </w:r>
            <w:r w:rsidR="001C38DC">
              <w:t xml:space="preserv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13F9374" w:rsidR="002940F3" w:rsidRDefault="001C38DC">
            <w:pPr>
              <w:pStyle w:val="TableRow"/>
            </w:pPr>
            <w:r>
              <w:t>L Hinton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6A00100" w:rsidR="002940F3" w:rsidRDefault="008E16CE">
            <w:pPr>
              <w:pStyle w:val="TableRow"/>
            </w:pPr>
            <w:r>
              <w:t>Tim Ward</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D37A409" w:rsidR="00E66558" w:rsidRDefault="009D71E8">
            <w:pPr>
              <w:pStyle w:val="TableRow"/>
            </w:pPr>
            <w:r>
              <w:t>£</w:t>
            </w:r>
            <w:r w:rsidR="00202A5B">
              <w:t>17,460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A9CD4BE" w:rsidR="00E66558" w:rsidRDefault="009D71E8">
            <w:pPr>
              <w:pStyle w:val="TableRow"/>
            </w:pPr>
            <w:r>
              <w:t>£</w:t>
            </w:r>
            <w:r w:rsidR="00202A5B">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C3DA28B" w:rsidR="00E66558" w:rsidRDefault="009D71E8">
            <w:pPr>
              <w:pStyle w:val="TableRow"/>
            </w:pPr>
            <w:r>
              <w:t>£</w:t>
            </w:r>
            <w:r w:rsidR="00202A5B">
              <w:t>14,727</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3110073" w:rsidR="00E66558" w:rsidRDefault="009D71E8">
            <w:pPr>
              <w:pStyle w:val="TableRow"/>
            </w:pPr>
            <w:r>
              <w:t>£</w:t>
            </w:r>
            <w:r w:rsidR="00202A5B">
              <w:t>34,187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85ED" w14:textId="77777777" w:rsidR="008B11EF" w:rsidRDefault="008B11EF" w:rsidP="008B11EF">
            <w:pPr>
              <w:suppressAutoHyphens w:val="0"/>
              <w:spacing w:after="0" w:line="240" w:lineRule="auto"/>
            </w:pPr>
            <w:r>
              <w:t xml:space="preserve">When making decisions about using Pupil Premium funding it is important to consider the context of the school and the subsequent challenges faced. This alongside research conducted by the EEF. </w:t>
            </w:r>
          </w:p>
          <w:p w14:paraId="22DBC45E" w14:textId="77777777" w:rsidR="008B11EF" w:rsidRDefault="008B11EF" w:rsidP="008B11EF">
            <w:pPr>
              <w:suppressAutoHyphens w:val="0"/>
              <w:spacing w:after="0" w:line="240" w:lineRule="auto"/>
            </w:pPr>
          </w:p>
          <w:p w14:paraId="640919F2" w14:textId="77777777" w:rsidR="008B11EF" w:rsidRDefault="008B11EF" w:rsidP="008B11EF">
            <w:pPr>
              <w:suppressAutoHyphens w:val="0"/>
              <w:spacing w:after="0" w:line="240" w:lineRule="auto"/>
            </w:pPr>
            <w:r>
              <w:t xml:space="preserve">Common barriers to learning for disadvantaged children can be: less support at home, weak language and communication skills, lack of confidence, more frequent behaviour difficulties and attendance and punctuality issues. </w:t>
            </w:r>
          </w:p>
          <w:p w14:paraId="4C3543E9" w14:textId="77777777" w:rsidR="008B11EF" w:rsidRDefault="008B11EF" w:rsidP="008B11EF">
            <w:pPr>
              <w:suppressAutoHyphens w:val="0"/>
              <w:spacing w:after="0" w:line="240" w:lineRule="auto"/>
            </w:pPr>
          </w:p>
          <w:p w14:paraId="327B2A2C" w14:textId="77777777" w:rsidR="008B11EF" w:rsidRDefault="008B11EF" w:rsidP="008B11EF">
            <w:pPr>
              <w:suppressAutoHyphens w:val="0"/>
              <w:spacing w:after="0" w:line="240" w:lineRule="auto"/>
            </w:pPr>
            <w:r>
              <w:t xml:space="preserve">There may also be complex family situations that prevent children from flourishing. The challenges are varied and there is no “one size fits all”. </w:t>
            </w:r>
          </w:p>
          <w:p w14:paraId="3A0D9C5F" w14:textId="77777777" w:rsidR="008B11EF" w:rsidRDefault="008B11EF" w:rsidP="008B11EF">
            <w:pPr>
              <w:suppressAutoHyphens w:val="0"/>
              <w:spacing w:after="0" w:line="240" w:lineRule="auto"/>
            </w:pPr>
          </w:p>
          <w:p w14:paraId="3734BFCE" w14:textId="77777777" w:rsidR="008B11EF" w:rsidRDefault="008B11EF" w:rsidP="008B11EF">
            <w:pPr>
              <w:suppressAutoHyphens w:val="0"/>
              <w:spacing w:after="0" w:line="240" w:lineRule="auto"/>
            </w:pPr>
            <w:r>
              <w:t xml:space="preserve">We will ensure that all teaching staff are involved in the analysis of data and identification of pupils, so that they are fully aware of strengths and weaknesses across the school. </w:t>
            </w:r>
          </w:p>
          <w:p w14:paraId="7DAF0CC3" w14:textId="77777777" w:rsidR="008B11EF" w:rsidRDefault="008B11EF" w:rsidP="008B11EF">
            <w:pPr>
              <w:suppressAutoHyphens w:val="0"/>
              <w:spacing w:after="0" w:line="240" w:lineRule="auto"/>
            </w:pPr>
          </w:p>
          <w:p w14:paraId="3F898741" w14:textId="77777777" w:rsidR="008B11EF" w:rsidRDefault="008B11EF" w:rsidP="008B11EF">
            <w:pPr>
              <w:suppressAutoHyphens w:val="0"/>
              <w:spacing w:after="0" w:line="240" w:lineRule="auto"/>
            </w:pPr>
            <w:r>
              <w:t>Principles:</w:t>
            </w:r>
          </w:p>
          <w:p w14:paraId="1A16B08B" w14:textId="77777777" w:rsidR="008B11EF" w:rsidRDefault="008B11EF" w:rsidP="008B11EF">
            <w:pPr>
              <w:pStyle w:val="ListParagraph"/>
              <w:numPr>
                <w:ilvl w:val="0"/>
                <w:numId w:val="14"/>
              </w:numPr>
              <w:suppressAutoHyphens w:val="0"/>
              <w:spacing w:after="0" w:line="240" w:lineRule="auto"/>
            </w:pPr>
            <w:r>
              <w:t>We ensure that teaching and learning opportunities meet the needs of all the pupils</w:t>
            </w:r>
          </w:p>
          <w:p w14:paraId="737F757F" w14:textId="77777777" w:rsidR="008B11EF" w:rsidRDefault="008B11EF" w:rsidP="008B11EF">
            <w:pPr>
              <w:pStyle w:val="ListParagraph"/>
              <w:numPr>
                <w:ilvl w:val="0"/>
                <w:numId w:val="14"/>
              </w:numPr>
              <w:suppressAutoHyphens w:val="0"/>
              <w:spacing w:after="0" w:line="240" w:lineRule="auto"/>
            </w:pPr>
            <w:r>
              <w:t>We ensure that appropriate provision is made for pupils who belong to vulnerable groups, this includes ensuring that the needs of socially disadvantaged pupils are adequately assessed and addressed</w:t>
            </w:r>
          </w:p>
          <w:p w14:paraId="7BCB8165" w14:textId="77777777" w:rsidR="008B11EF" w:rsidRDefault="008B11EF" w:rsidP="008B11EF">
            <w:pPr>
              <w:pStyle w:val="ListParagraph"/>
              <w:numPr>
                <w:ilvl w:val="0"/>
                <w:numId w:val="14"/>
              </w:numPr>
              <w:suppressAutoHyphens w:val="0"/>
              <w:spacing w:after="0" w:line="240" w:lineRule="auto"/>
            </w:pPr>
            <w:r>
              <w:t>In making provision for socially disadvantaged pupils, we recognise that not all pupils who receive free school meals will be socially disadvantaged</w:t>
            </w:r>
          </w:p>
          <w:p w14:paraId="492FEE10" w14:textId="77777777" w:rsidR="008B11EF" w:rsidRDefault="008B11EF" w:rsidP="008B11EF">
            <w:pPr>
              <w:pStyle w:val="ListParagraph"/>
              <w:numPr>
                <w:ilvl w:val="0"/>
                <w:numId w:val="14"/>
              </w:numPr>
              <w:suppressAutoHyphens w:val="0"/>
              <w:spacing w:after="0" w:line="240" w:lineRule="auto"/>
            </w:pPr>
            <w: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4ECCA4B8" w14:textId="77777777" w:rsidR="008B11EF" w:rsidRPr="00135D60" w:rsidRDefault="008B11EF" w:rsidP="008B11EF">
            <w:pPr>
              <w:pStyle w:val="ListParagraph"/>
              <w:numPr>
                <w:ilvl w:val="0"/>
                <w:numId w:val="14"/>
              </w:numPr>
              <w:suppressAutoHyphens w:val="0"/>
              <w:spacing w:after="0" w:line="240" w:lineRule="auto"/>
              <w:rPr>
                <w:color w:val="auto"/>
              </w:rPr>
            </w:pPr>
            <w:r>
              <w:t>Pupil premium funding will be allocated following a needs analysis which will identify priority classes, groups, or individuals. Limited funding and resources mean that not all children receiving free school meals will be in receipt of pupil premium interventions at one time</w:t>
            </w:r>
          </w:p>
          <w:p w14:paraId="1BD7F692" w14:textId="77777777" w:rsidR="008B11EF" w:rsidRDefault="008B11EF" w:rsidP="008B11EF"/>
          <w:p w14:paraId="471AFCB4" w14:textId="2EDBD240" w:rsidR="008B11EF" w:rsidRDefault="008B11EF" w:rsidP="008B11EF">
            <w:pPr>
              <w:pStyle w:val="TableHeader"/>
              <w:ind w:left="0"/>
              <w:jc w:val="left"/>
            </w:pPr>
            <w:r>
              <w:t>St Mark’s CE Primary School Context</w:t>
            </w:r>
          </w:p>
          <w:p w14:paraId="715D7209" w14:textId="77777777" w:rsidR="008B11EF" w:rsidRDefault="008B11EF" w:rsidP="008B11EF">
            <w:pPr>
              <w:pStyle w:val="TableHeader"/>
              <w:ind w:left="0"/>
              <w:jc w:val="left"/>
            </w:pPr>
          </w:p>
          <w:p w14:paraId="1A81B3D5" w14:textId="0454B7C1" w:rsidR="008B11EF" w:rsidRDefault="008B11EF" w:rsidP="008B11EF">
            <w:r>
              <w:t xml:space="preserve">St Mark’s School is Church of England Primary School and Nursery for pupils aged between 2 and 11 years in the village of </w:t>
            </w:r>
            <w:proofErr w:type="spellStart"/>
            <w:r>
              <w:t>Natland</w:t>
            </w:r>
            <w:proofErr w:type="spellEnd"/>
            <w:r>
              <w:t>, Nr Kendal</w:t>
            </w:r>
          </w:p>
          <w:p w14:paraId="7CDCB284" w14:textId="77777777" w:rsidR="008B11EF" w:rsidRDefault="008B11EF" w:rsidP="008B11EF">
            <w:pPr>
              <w:suppressAutoHyphens w:val="0"/>
              <w:spacing w:after="0" w:line="240" w:lineRule="auto"/>
            </w:pPr>
          </w:p>
          <w:p w14:paraId="39B95E60" w14:textId="77777777" w:rsidR="008B11EF" w:rsidRPr="001D0AD9" w:rsidRDefault="008B11EF" w:rsidP="008B11EF">
            <w:pPr>
              <w:suppressAutoHyphens w:val="0"/>
              <w:spacing w:after="0" w:line="240" w:lineRule="auto"/>
              <w:rPr>
                <w:b/>
              </w:rPr>
            </w:pPr>
            <w:r w:rsidRPr="001D0AD9">
              <w:rPr>
                <w:b/>
              </w:rPr>
              <w:t>Ultimate Objectives:</w:t>
            </w:r>
          </w:p>
          <w:p w14:paraId="17665C6C" w14:textId="77777777" w:rsidR="008B11EF" w:rsidRDefault="008B11EF" w:rsidP="008B11EF">
            <w:pPr>
              <w:suppressAutoHyphens w:val="0"/>
              <w:spacing w:after="0" w:line="240" w:lineRule="auto"/>
            </w:pPr>
          </w:p>
          <w:p w14:paraId="4CF46304" w14:textId="77777777" w:rsidR="008B11EF" w:rsidRDefault="008B11EF" w:rsidP="008B11EF">
            <w:pPr>
              <w:pStyle w:val="ListParagraph"/>
              <w:numPr>
                <w:ilvl w:val="0"/>
                <w:numId w:val="15"/>
              </w:numPr>
              <w:suppressAutoHyphens w:val="0"/>
              <w:spacing w:after="0" w:line="240" w:lineRule="auto"/>
            </w:pPr>
            <w:r>
              <w:t>To narrow the attainment gap between disadvantaged and non-disadvantaged pupils</w:t>
            </w:r>
          </w:p>
          <w:p w14:paraId="56876ABE" w14:textId="77777777" w:rsidR="008B11EF" w:rsidRDefault="008B11EF" w:rsidP="008B11EF">
            <w:pPr>
              <w:pStyle w:val="ListParagraph"/>
              <w:numPr>
                <w:ilvl w:val="0"/>
                <w:numId w:val="15"/>
              </w:numPr>
              <w:suppressAutoHyphens w:val="0"/>
              <w:spacing w:after="0" w:line="240" w:lineRule="auto"/>
            </w:pPr>
            <w:r>
              <w:t xml:space="preserve">For all disadvantaged pupils in school to exceed nationally expected progress rates </w:t>
            </w:r>
          </w:p>
          <w:p w14:paraId="2416D025" w14:textId="77777777" w:rsidR="008B11EF" w:rsidRDefault="008B11EF" w:rsidP="008B11EF">
            <w:pPr>
              <w:suppressAutoHyphens w:val="0"/>
              <w:spacing w:after="0" w:line="240" w:lineRule="auto"/>
            </w:pPr>
          </w:p>
          <w:p w14:paraId="1A3BDC1B" w14:textId="77777777" w:rsidR="008B11EF" w:rsidRPr="001D0AD9" w:rsidRDefault="008B11EF" w:rsidP="008B11EF">
            <w:pPr>
              <w:suppressAutoHyphens w:val="0"/>
              <w:spacing w:after="0" w:line="240" w:lineRule="auto"/>
              <w:rPr>
                <w:b/>
              </w:rPr>
            </w:pPr>
            <w:r w:rsidRPr="001D0AD9">
              <w:rPr>
                <w:b/>
              </w:rPr>
              <w:lastRenderedPageBreak/>
              <w:t xml:space="preserve">Achieving These Objectives </w:t>
            </w:r>
          </w:p>
          <w:p w14:paraId="0577C849" w14:textId="77777777" w:rsidR="008B11EF" w:rsidRDefault="008B11EF" w:rsidP="008B11EF">
            <w:pPr>
              <w:suppressAutoHyphens w:val="0"/>
              <w:spacing w:after="0" w:line="240" w:lineRule="auto"/>
            </w:pPr>
          </w:p>
          <w:p w14:paraId="5F4B4F24" w14:textId="77777777" w:rsidR="008B11EF" w:rsidRDefault="008B11EF" w:rsidP="008B11EF">
            <w:pPr>
              <w:suppressAutoHyphens w:val="0"/>
              <w:spacing w:after="0" w:line="240" w:lineRule="auto"/>
            </w:pPr>
            <w:r>
              <w:t xml:space="preserve">The range of provision the Governors consider making for this group include and would not be limited to:  </w:t>
            </w:r>
          </w:p>
          <w:p w14:paraId="672801E0" w14:textId="5BF8CF18" w:rsidR="008B11EF" w:rsidRDefault="008B11EF" w:rsidP="008B11EF">
            <w:pPr>
              <w:pStyle w:val="ListParagraph"/>
              <w:numPr>
                <w:ilvl w:val="0"/>
                <w:numId w:val="16"/>
              </w:numPr>
              <w:suppressAutoHyphens w:val="0"/>
              <w:spacing w:after="0" w:line="240" w:lineRule="auto"/>
            </w:pPr>
            <w:r>
              <w:t>To allocate a ‘Catch Up’ teacher providing small group work with an experienced teacher/HLTA focussed on overcoming gaps in learning</w:t>
            </w:r>
          </w:p>
          <w:p w14:paraId="04DCDA80" w14:textId="77777777" w:rsidR="008B11EF" w:rsidRDefault="008B11EF" w:rsidP="008B11EF">
            <w:pPr>
              <w:pStyle w:val="ListParagraph"/>
              <w:numPr>
                <w:ilvl w:val="0"/>
                <w:numId w:val="16"/>
              </w:numPr>
              <w:suppressAutoHyphens w:val="0"/>
              <w:spacing w:after="0" w:line="240" w:lineRule="auto"/>
            </w:pPr>
            <w:r>
              <w:t>1:1 support</w:t>
            </w:r>
          </w:p>
          <w:p w14:paraId="27B71819" w14:textId="77777777" w:rsidR="008B11EF" w:rsidRDefault="008B11EF" w:rsidP="008B11EF">
            <w:pPr>
              <w:pStyle w:val="ListParagraph"/>
              <w:numPr>
                <w:ilvl w:val="0"/>
                <w:numId w:val="16"/>
              </w:numPr>
              <w:suppressAutoHyphens w:val="0"/>
              <w:spacing w:after="0" w:line="240" w:lineRule="auto"/>
            </w:pPr>
            <w:r>
              <w:t>Use of internal or external tutors</w:t>
            </w:r>
          </w:p>
          <w:p w14:paraId="28F98E27" w14:textId="77777777" w:rsidR="008B11EF" w:rsidRDefault="008B11EF" w:rsidP="008B11EF">
            <w:pPr>
              <w:pStyle w:val="ListParagraph"/>
              <w:numPr>
                <w:ilvl w:val="0"/>
                <w:numId w:val="16"/>
              </w:numPr>
              <w:suppressAutoHyphens w:val="0"/>
              <w:spacing w:after="0" w:line="240" w:lineRule="auto"/>
            </w:pPr>
            <w:r>
              <w:t>Pupil premium resources are to be used to target able children on Free School Meals to achieve their potential</w:t>
            </w:r>
          </w:p>
          <w:p w14:paraId="08CF2AA4" w14:textId="77777777" w:rsidR="008B11EF" w:rsidRDefault="008B11EF" w:rsidP="008B11EF">
            <w:pPr>
              <w:pStyle w:val="ListParagraph"/>
              <w:numPr>
                <w:ilvl w:val="0"/>
                <w:numId w:val="16"/>
              </w:numPr>
              <w:suppressAutoHyphens w:val="0"/>
              <w:spacing w:after="0" w:line="240" w:lineRule="auto"/>
            </w:pPr>
            <w:r>
              <w:t>Additional transition support through all key stages</w:t>
            </w:r>
          </w:p>
          <w:p w14:paraId="30696B4E" w14:textId="77777777" w:rsidR="008B11EF" w:rsidRDefault="008B11EF" w:rsidP="008B11EF">
            <w:pPr>
              <w:pStyle w:val="ListParagraph"/>
              <w:numPr>
                <w:ilvl w:val="0"/>
                <w:numId w:val="16"/>
              </w:numPr>
              <w:suppressAutoHyphens w:val="0"/>
              <w:spacing w:after="0" w:line="240" w:lineRule="auto"/>
            </w:pPr>
            <w:r>
              <w:t xml:space="preserve">Pay for all activities, educational visits and residentials. Ensuring children have first-hand experiences to use in their learning in the classroom. </w:t>
            </w:r>
          </w:p>
          <w:p w14:paraId="57466427" w14:textId="77777777" w:rsidR="008B11EF" w:rsidRDefault="008B11EF" w:rsidP="008B11EF">
            <w:pPr>
              <w:pStyle w:val="ListParagraph"/>
              <w:numPr>
                <w:ilvl w:val="0"/>
                <w:numId w:val="16"/>
              </w:numPr>
              <w:suppressAutoHyphens w:val="0"/>
              <w:spacing w:after="0" w:line="240" w:lineRule="auto"/>
            </w:pPr>
            <w:r>
              <w:t xml:space="preserve">Support the funding of resources to enhance the learning experience </w:t>
            </w:r>
          </w:p>
          <w:p w14:paraId="427D1DAF" w14:textId="77777777" w:rsidR="008B11EF" w:rsidRDefault="008B11EF" w:rsidP="008B11EF">
            <w:pPr>
              <w:pStyle w:val="ListParagraph"/>
              <w:numPr>
                <w:ilvl w:val="0"/>
                <w:numId w:val="16"/>
              </w:numPr>
              <w:suppressAutoHyphens w:val="0"/>
              <w:spacing w:after="0" w:line="240" w:lineRule="auto"/>
            </w:pPr>
            <w:r>
              <w:t xml:space="preserve">To allow the pupils to learn a musical instrument or speech and drama </w:t>
            </w:r>
          </w:p>
          <w:p w14:paraId="54E8A388" w14:textId="77777777" w:rsidR="008B11EF" w:rsidRDefault="008B11EF" w:rsidP="008B11EF">
            <w:pPr>
              <w:pStyle w:val="ListParagraph"/>
              <w:numPr>
                <w:ilvl w:val="0"/>
                <w:numId w:val="16"/>
              </w:numPr>
              <w:suppressAutoHyphens w:val="0"/>
              <w:spacing w:after="0" w:line="240" w:lineRule="auto"/>
            </w:pPr>
            <w:r>
              <w:t>Mental health provision available to all pupils.</w:t>
            </w:r>
          </w:p>
          <w:p w14:paraId="7BD673E4" w14:textId="77777777" w:rsidR="008B11EF" w:rsidRDefault="008B11EF" w:rsidP="008B11EF">
            <w:pPr>
              <w:suppressAutoHyphens w:val="0"/>
              <w:spacing w:after="0" w:line="240" w:lineRule="auto"/>
            </w:pPr>
          </w:p>
          <w:p w14:paraId="6D28E9B6" w14:textId="77777777" w:rsidR="008B11EF" w:rsidRPr="004921B1" w:rsidRDefault="008B11EF" w:rsidP="008B11EF">
            <w:pPr>
              <w:suppressAutoHyphens w:val="0"/>
              <w:spacing w:after="0" w:line="240" w:lineRule="auto"/>
            </w:pPr>
            <w:r>
              <w:t xml:space="preserve">This list is not exhaustive and will change according to the needs and support our socially disadvantaged pupils require. </w:t>
            </w:r>
          </w:p>
          <w:p w14:paraId="2A7D54E9" w14:textId="0C246FCB" w:rsidR="00E66558" w:rsidRDefault="00E66558" w:rsidP="008B11EF">
            <w:pPr>
              <w:pStyle w:val="ListParagraph"/>
              <w:numPr>
                <w:ilvl w:val="0"/>
                <w:numId w:val="0"/>
              </w:numPr>
              <w:ind w:left="72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94FC6" w14:paraId="2A7D54F2" w14:textId="77777777" w:rsidTr="00855B2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994FC6" w:rsidRDefault="00994FC6" w:rsidP="00994FC6">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FD74358" w:rsidR="00994FC6" w:rsidRDefault="00994FC6" w:rsidP="00994FC6">
            <w:pPr>
              <w:pStyle w:val="TableRowCentered"/>
              <w:jc w:val="left"/>
            </w:pPr>
            <w:r>
              <w:t>Weak Language and Communication skills including a lower reading age</w:t>
            </w:r>
          </w:p>
        </w:tc>
      </w:tr>
      <w:tr w:rsidR="00994FC6" w14:paraId="2A7D54F5" w14:textId="77777777" w:rsidTr="00855B2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994FC6" w:rsidRDefault="00994FC6" w:rsidP="00994FC6">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03F3AE5" w:rsidR="00994FC6" w:rsidRDefault="00994FC6" w:rsidP="00994FC6">
            <w:pPr>
              <w:pStyle w:val="TableRowCentered"/>
              <w:jc w:val="left"/>
              <w:rPr>
                <w:sz w:val="22"/>
                <w:szCs w:val="22"/>
              </w:rPr>
            </w:pPr>
            <w:r>
              <w:t>Lower attainment and progress and a widening gap between disadvantaged and non-disadvantaged pupils</w:t>
            </w:r>
          </w:p>
        </w:tc>
      </w:tr>
      <w:tr w:rsidR="00994FC6" w14:paraId="2A7D54F8" w14:textId="77777777" w:rsidTr="00855B2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994FC6" w:rsidRDefault="00994FC6" w:rsidP="00994FC6">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1CB8C21E" w:rsidR="00994FC6" w:rsidRDefault="00FF0BED" w:rsidP="00994FC6">
            <w:pPr>
              <w:pStyle w:val="TableRowCentered"/>
              <w:jc w:val="left"/>
              <w:rPr>
                <w:sz w:val="22"/>
                <w:szCs w:val="22"/>
              </w:rPr>
            </w:pPr>
            <w:r>
              <w:t>R</w:t>
            </w:r>
            <w:r w:rsidR="00994FC6">
              <w:t>educed exposure to cultural capital</w:t>
            </w:r>
          </w:p>
        </w:tc>
      </w:tr>
      <w:tr w:rsidR="00994FC6" w14:paraId="2A7D54FB" w14:textId="77777777" w:rsidTr="00855B2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994FC6" w:rsidRDefault="00994FC6" w:rsidP="00994FC6">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405415BA" w:rsidR="00994FC6" w:rsidRDefault="00994FC6" w:rsidP="00994FC6">
            <w:pPr>
              <w:pStyle w:val="TableRowCentered"/>
              <w:jc w:val="left"/>
              <w:rPr>
                <w:iCs/>
                <w:sz w:val="22"/>
              </w:rPr>
            </w:pPr>
            <w:r>
              <w:t>Attendance and Punctuality issues</w:t>
            </w:r>
          </w:p>
        </w:tc>
      </w:tr>
      <w:tr w:rsidR="00994FC6" w14:paraId="2A7D54FE" w14:textId="77777777" w:rsidTr="00855B2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994FC6" w:rsidRDefault="00994FC6" w:rsidP="00994FC6">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74D2510A" w:rsidR="00994FC6" w:rsidRDefault="00994FC6" w:rsidP="00994FC6">
            <w:pPr>
              <w:pStyle w:val="TableRowCentered"/>
              <w:jc w:val="left"/>
              <w:rPr>
                <w:iCs/>
                <w:sz w:val="22"/>
              </w:rPr>
            </w:pPr>
            <w:r>
              <w:t>Poor mental health and wellbeing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229FB" w14:paraId="2A7D5506" w14:textId="77777777" w:rsidTr="0088721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4BCC4FED" w:rsidR="00C229FB" w:rsidRDefault="00C229FB" w:rsidP="00C229FB">
            <w:pPr>
              <w:pStyle w:val="TableRow"/>
            </w:pPr>
            <w:r>
              <w:rPr>
                <w:sz w:val="22"/>
                <w:szCs w:val="22"/>
              </w:rPr>
              <w:t>Improved writing in the Primary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8CEF603" w:rsidR="00C229FB" w:rsidRDefault="00C229FB" w:rsidP="00C229FB">
            <w:pPr>
              <w:pStyle w:val="TableRowCentered"/>
              <w:jc w:val="left"/>
              <w:rPr>
                <w:sz w:val="22"/>
                <w:szCs w:val="22"/>
              </w:rPr>
            </w:pPr>
            <w:r>
              <w:rPr>
                <w:sz w:val="22"/>
                <w:szCs w:val="22"/>
              </w:rPr>
              <w:t xml:space="preserve">Improve writing attainment </w:t>
            </w:r>
          </w:p>
        </w:tc>
      </w:tr>
      <w:tr w:rsidR="00C229FB" w14:paraId="2A7D5509" w14:textId="77777777" w:rsidTr="0088721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3FA3C9B" w:rsidR="00C229FB" w:rsidRDefault="00C229FB" w:rsidP="00C229FB">
            <w:pPr>
              <w:pStyle w:val="TableRow"/>
              <w:rPr>
                <w:sz w:val="22"/>
                <w:szCs w:val="22"/>
              </w:rPr>
            </w:pPr>
            <w:r>
              <w:rPr>
                <w:sz w:val="22"/>
                <w:szCs w:val="22"/>
              </w:rPr>
              <w:lastRenderedPageBreak/>
              <w:t>Improved reading ability and vocabulary acquisition for all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61F40A8E" w:rsidR="00C229FB" w:rsidRDefault="00C229FB" w:rsidP="00C229FB">
            <w:pPr>
              <w:pStyle w:val="TableRowCentered"/>
              <w:jc w:val="left"/>
              <w:rPr>
                <w:sz w:val="22"/>
                <w:szCs w:val="22"/>
              </w:rPr>
            </w:pPr>
            <w:r>
              <w:rPr>
                <w:sz w:val="22"/>
                <w:szCs w:val="22"/>
              </w:rPr>
              <w:t>Improved reading ages to chronological age</w:t>
            </w:r>
          </w:p>
        </w:tc>
      </w:tr>
      <w:tr w:rsidR="00C229FB" w14:paraId="2A7D550C" w14:textId="77777777" w:rsidTr="0088721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612C7" w14:textId="2EF25532" w:rsidR="00C229FB" w:rsidRDefault="00FF0BED" w:rsidP="00C229FB">
            <w:pPr>
              <w:pStyle w:val="TableRow"/>
              <w:rPr>
                <w:sz w:val="22"/>
                <w:szCs w:val="22"/>
              </w:rPr>
            </w:pPr>
            <w:r>
              <w:rPr>
                <w:sz w:val="22"/>
                <w:szCs w:val="22"/>
              </w:rPr>
              <w:t>Improve</w:t>
            </w:r>
            <w:r w:rsidR="00C229FB">
              <w:rPr>
                <w:sz w:val="22"/>
                <w:szCs w:val="22"/>
              </w:rPr>
              <w:t xml:space="preserve"> the current attainment and progress </w:t>
            </w:r>
            <w:r w:rsidR="00266F55">
              <w:rPr>
                <w:sz w:val="22"/>
                <w:szCs w:val="22"/>
              </w:rPr>
              <w:t>of disadvantaged pupils</w:t>
            </w:r>
          </w:p>
          <w:p w14:paraId="2A7D550A" w14:textId="1E38C365" w:rsidR="00C229FB" w:rsidRDefault="00C229FB" w:rsidP="00C229FB">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38EDB0FA" w:rsidR="00C229FB" w:rsidRDefault="00266F55" w:rsidP="00C229FB">
            <w:pPr>
              <w:pStyle w:val="TableRowCentered"/>
              <w:jc w:val="left"/>
              <w:rPr>
                <w:sz w:val="22"/>
                <w:szCs w:val="22"/>
              </w:rPr>
            </w:pPr>
            <w:r>
              <w:rPr>
                <w:sz w:val="22"/>
                <w:szCs w:val="22"/>
              </w:rPr>
              <w:t>Progress improved</w:t>
            </w:r>
          </w:p>
        </w:tc>
      </w:tr>
      <w:tr w:rsidR="00C229FB" w14:paraId="2A7D550F" w14:textId="77777777" w:rsidTr="0088721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63BE521C" w:rsidR="00C229FB" w:rsidRDefault="00C229FB" w:rsidP="00C229FB">
            <w:pPr>
              <w:pStyle w:val="TableRow"/>
              <w:rPr>
                <w:sz w:val="22"/>
                <w:szCs w:val="22"/>
              </w:rPr>
            </w:pPr>
            <w:r w:rsidRPr="03604DD6">
              <w:rPr>
                <w:color w:val="0D0D0D" w:themeColor="text1" w:themeTint="F2"/>
              </w:rPr>
              <w:t>Improved well-being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0E274" w14:textId="77777777" w:rsidR="00C229FB" w:rsidRDefault="00C229FB" w:rsidP="00C229FB">
            <w:pPr>
              <w:pStyle w:val="TableRowCentered"/>
              <w:jc w:val="left"/>
              <w:rPr>
                <w:color w:val="0D0D0D" w:themeColor="text1" w:themeTint="F2"/>
                <w:szCs w:val="24"/>
              </w:rPr>
            </w:pPr>
            <w:r w:rsidRPr="03604DD6">
              <w:rPr>
                <w:color w:val="0D0D0D" w:themeColor="text1" w:themeTint="F2"/>
                <w:szCs w:val="24"/>
              </w:rPr>
              <w:t>Fewer referrals to external agencies</w:t>
            </w:r>
          </w:p>
          <w:p w14:paraId="2A7D550E" w14:textId="355FB19B" w:rsidR="00C229FB" w:rsidRDefault="00C229FB" w:rsidP="00C229FB">
            <w:pPr>
              <w:pStyle w:val="TableRowCentered"/>
              <w:jc w:val="left"/>
              <w:rPr>
                <w:sz w:val="22"/>
                <w:szCs w:val="22"/>
              </w:rPr>
            </w:pPr>
            <w:r w:rsidRPr="03604DD6">
              <w:rPr>
                <w:color w:val="0D0D0D" w:themeColor="text1" w:themeTint="F2"/>
                <w:szCs w:val="24"/>
              </w:rPr>
              <w:t xml:space="preserve">A reduction in the number of pupils </w:t>
            </w:r>
            <w:r w:rsidR="00266F55">
              <w:rPr>
                <w:color w:val="0D0D0D" w:themeColor="text1" w:themeTint="F2"/>
                <w:szCs w:val="24"/>
              </w:rPr>
              <w:t>reporting</w:t>
            </w:r>
            <w:r w:rsidRPr="03604DD6">
              <w:rPr>
                <w:color w:val="0D0D0D" w:themeColor="text1" w:themeTint="F2"/>
                <w:szCs w:val="24"/>
              </w:rPr>
              <w:t xml:space="preserve"> anxiety</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8BEC850" w:rsidR="00E66558" w:rsidRDefault="009D71E8">
      <w:r>
        <w:t xml:space="preserve">Budgeted cost: £ </w:t>
      </w:r>
      <w:r w:rsidR="00CF2900">
        <w:rPr>
          <w:i/>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253B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BA87A6" w:rsidR="001253B7" w:rsidRDefault="001253B7" w:rsidP="001253B7">
            <w:pPr>
              <w:pStyle w:val="TableRow"/>
            </w:pPr>
            <w:r>
              <w:rPr>
                <w:i/>
                <w:iCs/>
                <w:sz w:val="22"/>
                <w:szCs w:val="22"/>
              </w:rPr>
              <w:t>Curriculum development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36CB7BA" w:rsidR="001253B7" w:rsidRDefault="001253B7" w:rsidP="001253B7">
            <w:pPr>
              <w:pStyle w:val="TableRowCentered"/>
              <w:jc w:val="left"/>
              <w:rPr>
                <w:sz w:val="22"/>
              </w:rPr>
            </w:pPr>
            <w:r w:rsidRPr="2DF5CDF1">
              <w:rPr>
                <w:sz w:val="22"/>
                <w:szCs w:val="22"/>
              </w:rPr>
              <w:t xml:space="preserve"> </w:t>
            </w:r>
            <w:r w:rsidR="000D6AB5">
              <w:rPr>
                <w:sz w:val="22"/>
                <w:szCs w:val="22"/>
              </w:rPr>
              <w:t>I</w:t>
            </w:r>
            <w:r w:rsidRPr="2DF5CDF1">
              <w:rPr>
                <w:sz w:val="22"/>
                <w:szCs w:val="22"/>
              </w:rPr>
              <w:t>t is imperative that our curriculum is properly sequenced and therefore effective. This is a clear focus of the school’s development plan.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1F69851" w:rsidR="001253B7" w:rsidRDefault="001253B7" w:rsidP="001253B7">
            <w:pPr>
              <w:pStyle w:val="TableRowCentered"/>
              <w:jc w:val="left"/>
              <w:rPr>
                <w:sz w:val="22"/>
              </w:rPr>
            </w:pPr>
            <w:r w:rsidRPr="1CF50C40">
              <w:rPr>
                <w:sz w:val="22"/>
                <w:szCs w:val="22"/>
              </w:rPr>
              <w:t>1 and 2</w:t>
            </w:r>
          </w:p>
        </w:tc>
      </w:tr>
      <w:tr w:rsidR="001253B7"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C3E2F31" w:rsidR="001253B7" w:rsidRDefault="001253B7" w:rsidP="001253B7">
            <w:pPr>
              <w:pStyle w:val="TableRow"/>
              <w:rPr>
                <w:i/>
                <w:sz w:val="22"/>
              </w:rPr>
            </w:pPr>
            <w:r>
              <w:rPr>
                <w:i/>
                <w:sz w:val="22"/>
              </w:rPr>
              <w:t>Phonics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6DD9" w14:textId="5AB1FD97" w:rsidR="001253B7" w:rsidRDefault="001253B7" w:rsidP="001253B7">
            <w:pPr>
              <w:pStyle w:val="TableRowCentered"/>
              <w:spacing w:line="259" w:lineRule="auto"/>
              <w:jc w:val="left"/>
              <w:rPr>
                <w:sz w:val="22"/>
                <w:szCs w:val="22"/>
              </w:rPr>
            </w:pPr>
            <w:r w:rsidRPr="58B87FB4">
              <w:rPr>
                <w:sz w:val="22"/>
                <w:szCs w:val="22"/>
              </w:rPr>
              <w:t xml:space="preserve">As the building block of reading, and therefore the key to unlocking all learning. Our phonics scheme </w:t>
            </w:r>
            <w:r w:rsidR="00A318CF" w:rsidRPr="58B87FB4">
              <w:rPr>
                <w:sz w:val="22"/>
                <w:szCs w:val="22"/>
              </w:rPr>
              <w:t>requires all</w:t>
            </w:r>
            <w:r w:rsidRPr="58B87FB4">
              <w:rPr>
                <w:sz w:val="22"/>
                <w:szCs w:val="22"/>
              </w:rPr>
              <w:t xml:space="preserve"> </w:t>
            </w:r>
            <w:r w:rsidR="000D6AB5">
              <w:rPr>
                <w:sz w:val="22"/>
                <w:szCs w:val="22"/>
              </w:rPr>
              <w:t xml:space="preserve">teaching and support </w:t>
            </w:r>
            <w:r w:rsidRPr="58B87FB4">
              <w:rPr>
                <w:sz w:val="22"/>
                <w:szCs w:val="22"/>
              </w:rPr>
              <w:t xml:space="preserve">staff </w:t>
            </w:r>
            <w:r w:rsidR="000D6AB5">
              <w:rPr>
                <w:sz w:val="22"/>
                <w:szCs w:val="22"/>
              </w:rPr>
              <w:t>in KS1 to have regular CPD</w:t>
            </w:r>
            <w:r w:rsidRPr="58B87FB4">
              <w:rPr>
                <w:sz w:val="22"/>
                <w:szCs w:val="22"/>
              </w:rPr>
              <w:t xml:space="preserve"> </w:t>
            </w:r>
            <w:r w:rsidR="000D6AB5">
              <w:rPr>
                <w:sz w:val="22"/>
                <w:szCs w:val="22"/>
              </w:rPr>
              <w:t>to remain current</w:t>
            </w:r>
          </w:p>
          <w:p w14:paraId="2A7D551F" w14:textId="77777777" w:rsidR="001253B7" w:rsidRDefault="001253B7" w:rsidP="001253B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1231" w14:textId="77777777" w:rsidR="001253B7" w:rsidRDefault="001253B7" w:rsidP="001253B7">
            <w:pPr>
              <w:pStyle w:val="TableRowCentered"/>
              <w:spacing w:line="259" w:lineRule="auto"/>
              <w:jc w:val="left"/>
              <w:rPr>
                <w:color w:val="0D0D0D" w:themeColor="text1" w:themeTint="F2"/>
                <w:szCs w:val="24"/>
              </w:rPr>
            </w:pPr>
            <w:r w:rsidRPr="1CF50C40">
              <w:rPr>
                <w:sz w:val="22"/>
                <w:szCs w:val="22"/>
              </w:rPr>
              <w:t>1 and 2</w:t>
            </w:r>
          </w:p>
          <w:p w14:paraId="2A7D5520" w14:textId="77777777" w:rsidR="001253B7" w:rsidRDefault="001253B7" w:rsidP="001253B7">
            <w:pPr>
              <w:pStyle w:val="TableRowCentered"/>
              <w:jc w:val="left"/>
              <w:rPr>
                <w:sz w:val="22"/>
              </w:rPr>
            </w:pPr>
          </w:p>
        </w:tc>
      </w:tr>
      <w:tr w:rsidR="001253B7" w14:paraId="5F09B4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40D7" w14:textId="1258D91C" w:rsidR="001253B7" w:rsidRDefault="001253B7" w:rsidP="001253B7">
            <w:pPr>
              <w:pStyle w:val="TableRow"/>
              <w:rPr>
                <w:i/>
                <w:sz w:val="22"/>
              </w:rPr>
            </w:pPr>
            <w:r>
              <w:rPr>
                <w:i/>
                <w:sz w:val="22"/>
              </w:rPr>
              <w:t>Phonics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3BB1" w14:textId="061A7EF8" w:rsidR="001253B7" w:rsidRPr="58B87FB4" w:rsidRDefault="001253B7" w:rsidP="001253B7">
            <w:pPr>
              <w:pStyle w:val="TableRowCentered"/>
              <w:spacing w:line="259" w:lineRule="auto"/>
              <w:jc w:val="left"/>
              <w:rPr>
                <w:sz w:val="22"/>
                <w:szCs w:val="22"/>
              </w:rPr>
            </w:pPr>
            <w:r w:rsidRPr="58B87FB4">
              <w:rPr>
                <w:sz w:val="22"/>
                <w:szCs w:val="22"/>
              </w:rPr>
              <w:t xml:space="preserve">Without high quality resources the </w:t>
            </w:r>
            <w:r w:rsidR="00A318CF" w:rsidRPr="58B87FB4">
              <w:rPr>
                <w:sz w:val="22"/>
                <w:szCs w:val="22"/>
              </w:rPr>
              <w:t>scheme is</w:t>
            </w:r>
            <w:r w:rsidRPr="58B87FB4">
              <w:rPr>
                <w:sz w:val="22"/>
                <w:szCs w:val="22"/>
              </w:rPr>
              <w:t xml:space="preserve"> less effective and impactful.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AD4" w14:textId="77777777" w:rsidR="001253B7" w:rsidRDefault="001253B7" w:rsidP="001253B7">
            <w:pPr>
              <w:pStyle w:val="TableRowCentered"/>
              <w:spacing w:line="259" w:lineRule="auto"/>
              <w:jc w:val="left"/>
              <w:rPr>
                <w:color w:val="0D0D0D" w:themeColor="text1" w:themeTint="F2"/>
                <w:szCs w:val="24"/>
              </w:rPr>
            </w:pPr>
            <w:r w:rsidRPr="1CF50C40">
              <w:rPr>
                <w:sz w:val="22"/>
                <w:szCs w:val="22"/>
              </w:rPr>
              <w:t>1 and 2</w:t>
            </w:r>
          </w:p>
          <w:p w14:paraId="6376C8FE" w14:textId="77777777" w:rsidR="001253B7" w:rsidRPr="1CF50C40" w:rsidRDefault="001253B7" w:rsidP="001253B7">
            <w:pPr>
              <w:pStyle w:val="TableRowCentered"/>
              <w:spacing w:line="259" w:lineRule="auto"/>
              <w:jc w:val="left"/>
              <w:rPr>
                <w:sz w:val="22"/>
                <w:szCs w:val="22"/>
              </w:rPr>
            </w:pPr>
          </w:p>
        </w:tc>
      </w:tr>
      <w:tr w:rsidR="001253B7" w14:paraId="5F3863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1ED8" w14:textId="4185ACC9" w:rsidR="001253B7" w:rsidRDefault="001253B7" w:rsidP="001253B7">
            <w:pPr>
              <w:pStyle w:val="TableRow"/>
              <w:rPr>
                <w:i/>
                <w:sz w:val="22"/>
              </w:rPr>
            </w:pPr>
            <w:r w:rsidRPr="2DF5CDF1">
              <w:rPr>
                <w:i/>
                <w:iCs/>
                <w:sz w:val="22"/>
                <w:szCs w:val="22"/>
              </w:rPr>
              <w:t xml:space="preserve">Embed the </w:t>
            </w:r>
            <w:r w:rsidR="000D6AB5">
              <w:rPr>
                <w:i/>
                <w:iCs/>
                <w:sz w:val="22"/>
                <w:szCs w:val="22"/>
              </w:rPr>
              <w:t>use of planning and assessment grids in all foundation subjects.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431A4" w14:textId="67988BA7" w:rsidR="001253B7" w:rsidRPr="58B87FB4" w:rsidRDefault="00A318CF" w:rsidP="001253B7">
            <w:pPr>
              <w:pStyle w:val="TableRowCentered"/>
              <w:spacing w:line="259" w:lineRule="auto"/>
              <w:jc w:val="left"/>
              <w:rPr>
                <w:sz w:val="22"/>
                <w:szCs w:val="22"/>
              </w:rPr>
            </w:pPr>
            <w:r>
              <w:rPr>
                <w:sz w:val="22"/>
                <w:szCs w:val="22"/>
              </w:rPr>
              <w:t>This is a key part of effectively sequencing the curriculum, supporting children with knowledge acquisition.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2CEF" w14:textId="77777777" w:rsidR="001253B7" w:rsidRDefault="001253B7" w:rsidP="001253B7">
            <w:pPr>
              <w:pStyle w:val="TableRowCentered"/>
              <w:spacing w:line="259" w:lineRule="auto"/>
              <w:jc w:val="left"/>
              <w:rPr>
                <w:color w:val="0D0D0D" w:themeColor="text1" w:themeTint="F2"/>
                <w:szCs w:val="24"/>
              </w:rPr>
            </w:pPr>
            <w:r w:rsidRPr="1CF50C40">
              <w:rPr>
                <w:sz w:val="22"/>
                <w:szCs w:val="22"/>
              </w:rPr>
              <w:t>1 and 2</w:t>
            </w:r>
          </w:p>
          <w:p w14:paraId="62512D01" w14:textId="77777777" w:rsidR="001253B7" w:rsidRPr="1CF50C40" w:rsidRDefault="001253B7" w:rsidP="001253B7">
            <w:pPr>
              <w:pStyle w:val="TableRowCentered"/>
              <w:spacing w:line="259" w:lineRule="auto"/>
              <w:jc w:val="left"/>
              <w:rPr>
                <w:sz w:val="22"/>
                <w:szCs w:val="22"/>
              </w:rPr>
            </w:pPr>
          </w:p>
        </w:tc>
      </w:tr>
      <w:tr w:rsidR="001253B7" w14:paraId="04555B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F207" w14:textId="59996310" w:rsidR="001253B7" w:rsidRPr="2DF5CDF1" w:rsidRDefault="001253B7" w:rsidP="001253B7">
            <w:pPr>
              <w:pStyle w:val="TableRow"/>
              <w:rPr>
                <w:i/>
                <w:iCs/>
                <w:sz w:val="22"/>
                <w:szCs w:val="22"/>
              </w:rPr>
            </w:pPr>
            <w:r>
              <w:rPr>
                <w:i/>
                <w:sz w:val="22"/>
              </w:rPr>
              <w:t>Writing CPD for Primary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A90C" w14:textId="5C52B171" w:rsidR="001253B7" w:rsidRPr="7DD83A29" w:rsidRDefault="00A318CF" w:rsidP="001253B7">
            <w:pPr>
              <w:rPr>
                <w:color w:val="0D0D0D" w:themeColor="text1" w:themeTint="F2"/>
                <w:sz w:val="22"/>
                <w:szCs w:val="22"/>
              </w:rPr>
            </w:pPr>
            <w:r>
              <w:rPr>
                <w:sz w:val="22"/>
                <w:szCs w:val="22"/>
              </w:rPr>
              <w:t>Our attainment in writing is not as high as we would like. We would like to invest in CPD to support the skills of our teachers in 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A1DA" w14:textId="77777777" w:rsidR="001253B7" w:rsidRDefault="001253B7" w:rsidP="001253B7">
            <w:pPr>
              <w:pStyle w:val="TableRowCentered"/>
              <w:spacing w:line="259" w:lineRule="auto"/>
              <w:jc w:val="left"/>
              <w:rPr>
                <w:color w:val="0D0D0D" w:themeColor="text1" w:themeTint="F2"/>
                <w:szCs w:val="24"/>
              </w:rPr>
            </w:pPr>
            <w:r w:rsidRPr="1CF50C40">
              <w:rPr>
                <w:sz w:val="22"/>
                <w:szCs w:val="22"/>
              </w:rPr>
              <w:t>1 and 2</w:t>
            </w:r>
          </w:p>
          <w:p w14:paraId="1807F52C" w14:textId="77777777" w:rsidR="001253B7" w:rsidRPr="1CF50C40" w:rsidRDefault="001253B7" w:rsidP="001253B7">
            <w:pPr>
              <w:pStyle w:val="TableRowCentered"/>
              <w:spacing w:line="259" w:lineRule="auto"/>
              <w:jc w:val="left"/>
              <w:rPr>
                <w:sz w:val="22"/>
                <w:szCs w:val="22"/>
              </w:rPr>
            </w:pP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74864D23" w:rsidR="00E66558" w:rsidRDefault="009D71E8">
      <w:r>
        <w:t xml:space="preserve">Budgeted cost: £ </w:t>
      </w:r>
      <w:r w:rsidR="006D5C5D">
        <w:rPr>
          <w:i/>
          <w:iCs/>
        </w:rPr>
        <w:t>16,000</w:t>
      </w:r>
    </w:p>
    <w:tbl>
      <w:tblPr>
        <w:tblW w:w="5511" w:type="pct"/>
        <w:tblCellMar>
          <w:left w:w="10" w:type="dxa"/>
          <w:right w:w="10" w:type="dxa"/>
        </w:tblCellMar>
        <w:tblLook w:val="04A0" w:firstRow="1" w:lastRow="0" w:firstColumn="1" w:lastColumn="0" w:noHBand="0" w:noVBand="1"/>
      </w:tblPr>
      <w:tblGrid>
        <w:gridCol w:w="2962"/>
        <w:gridCol w:w="4689"/>
        <w:gridCol w:w="2804"/>
      </w:tblGrid>
      <w:tr w:rsidR="001253B7" w14:paraId="485AA6F4" w14:textId="77777777" w:rsidTr="001253B7">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1354A63" w14:textId="77777777" w:rsidR="001253B7" w:rsidRDefault="001253B7" w:rsidP="00EB351C">
            <w:pPr>
              <w:pStyle w:val="TableHeader"/>
              <w:jc w:val="left"/>
            </w:pPr>
            <w:r>
              <w:t>Activity</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47388A9" w14:textId="77777777" w:rsidR="001253B7" w:rsidRDefault="001253B7" w:rsidP="00EB351C">
            <w:pPr>
              <w:pStyle w:val="TableHeader"/>
              <w:jc w:val="left"/>
            </w:pPr>
            <w:r>
              <w:t>Evidence that supports this approach</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F4EAD49" w14:textId="77777777" w:rsidR="001253B7" w:rsidRDefault="001253B7" w:rsidP="00EB351C">
            <w:pPr>
              <w:pStyle w:val="TableHeader"/>
              <w:jc w:val="left"/>
            </w:pPr>
            <w:r>
              <w:t>Challenge number(s) addressed</w:t>
            </w:r>
          </w:p>
        </w:tc>
      </w:tr>
      <w:tr w:rsidR="001253B7" w14:paraId="21B61285" w14:textId="77777777" w:rsidTr="001253B7">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3CBE3" w14:textId="07755E90" w:rsidR="001253B7" w:rsidRDefault="00A318CF" w:rsidP="001253B7">
            <w:pPr>
              <w:pStyle w:val="TableRow"/>
            </w:pPr>
            <w:r>
              <w:rPr>
                <w:i/>
                <w:iCs/>
                <w:sz w:val="22"/>
                <w:szCs w:val="22"/>
              </w:rPr>
              <w:t xml:space="preserve">Mosaics </w:t>
            </w:r>
            <w:r w:rsidR="001253B7" w:rsidRPr="293128C8">
              <w:rPr>
                <w:i/>
                <w:iCs/>
                <w:sz w:val="22"/>
                <w:szCs w:val="22"/>
              </w:rPr>
              <w:t xml:space="preserve">Breakfast Club </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196DC" w14:textId="05D59A5C" w:rsidR="001253B7" w:rsidRDefault="001253B7" w:rsidP="001253B7">
            <w:pPr>
              <w:pStyle w:val="TableRowCentered"/>
              <w:spacing w:line="259" w:lineRule="auto"/>
              <w:jc w:val="left"/>
              <w:rPr>
                <w:color w:val="0D0D0D" w:themeColor="text1" w:themeTint="F2"/>
              </w:rPr>
            </w:pPr>
            <w:r w:rsidRPr="293128C8">
              <w:rPr>
                <w:color w:val="0D0D0D" w:themeColor="text1" w:themeTint="F2"/>
                <w:sz w:val="22"/>
                <w:szCs w:val="22"/>
              </w:rPr>
              <w:t xml:space="preserve">No pupil should start the day hungry, if you are hungry, you are unlikely to be able to concentrate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55622" w14:textId="10A6B355" w:rsidR="001253B7" w:rsidRDefault="001253B7" w:rsidP="001253B7">
            <w:pPr>
              <w:pStyle w:val="TableRowCentered"/>
              <w:spacing w:line="259" w:lineRule="auto"/>
              <w:jc w:val="left"/>
              <w:rPr>
                <w:color w:val="0D0D0D" w:themeColor="text1" w:themeTint="F2"/>
                <w:szCs w:val="24"/>
              </w:rPr>
            </w:pPr>
            <w:r w:rsidRPr="1CF50C40">
              <w:rPr>
                <w:sz w:val="22"/>
                <w:szCs w:val="22"/>
              </w:rPr>
              <w:t>4 and 5</w:t>
            </w:r>
          </w:p>
        </w:tc>
      </w:tr>
      <w:tr w:rsidR="001253B7" w14:paraId="2F214FDE" w14:textId="77777777" w:rsidTr="001253B7">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14CAF" w14:textId="18A31AFF" w:rsidR="001253B7" w:rsidRDefault="00A318CF" w:rsidP="001253B7">
            <w:pPr>
              <w:pStyle w:val="TableRow"/>
              <w:rPr>
                <w:i/>
                <w:sz w:val="22"/>
              </w:rPr>
            </w:pPr>
            <w:r>
              <w:rPr>
                <w:i/>
                <w:iCs/>
                <w:sz w:val="22"/>
                <w:szCs w:val="22"/>
              </w:rPr>
              <w:t>Mosaics</w:t>
            </w:r>
            <w:r w:rsidR="001253B7" w:rsidRPr="293128C8">
              <w:rPr>
                <w:i/>
                <w:iCs/>
                <w:sz w:val="22"/>
                <w:szCs w:val="22"/>
              </w:rPr>
              <w:t xml:space="preserve"> After School Club</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69C33" w14:textId="41CAD3E7" w:rsidR="001253B7" w:rsidRDefault="001253B7" w:rsidP="001253B7">
            <w:pPr>
              <w:pStyle w:val="TableRowCentered"/>
              <w:jc w:val="left"/>
              <w:rPr>
                <w:color w:val="0D0D0D" w:themeColor="text1" w:themeTint="F2"/>
                <w:sz w:val="22"/>
                <w:szCs w:val="22"/>
              </w:rPr>
            </w:pPr>
            <w:r w:rsidRPr="293128C8">
              <w:rPr>
                <w:color w:val="0D0D0D" w:themeColor="text1" w:themeTint="F2"/>
                <w:sz w:val="22"/>
                <w:szCs w:val="22"/>
              </w:rPr>
              <w:t xml:space="preserve">Pupils are supported to complete homework and </w:t>
            </w:r>
            <w:r w:rsidR="00F8176D">
              <w:rPr>
                <w:color w:val="0D0D0D" w:themeColor="text1" w:themeTint="F2"/>
                <w:sz w:val="22"/>
                <w:szCs w:val="22"/>
              </w:rPr>
              <w:t>have time to talk to staff,</w:t>
            </w:r>
            <w:r w:rsidRPr="293128C8">
              <w:rPr>
                <w:color w:val="0D0D0D" w:themeColor="text1" w:themeTint="F2"/>
                <w:sz w:val="22"/>
                <w:szCs w:val="22"/>
              </w:rPr>
              <w:t xml:space="preserve"> allowing parents to maintain jobs.</w:t>
            </w:r>
          </w:p>
          <w:p w14:paraId="3EB96443" w14:textId="77777777" w:rsidR="001253B7" w:rsidRDefault="001253B7" w:rsidP="001253B7">
            <w:pPr>
              <w:pStyle w:val="TableRowCentered"/>
              <w:spacing w:line="259" w:lineRule="auto"/>
              <w:jc w:val="left"/>
              <w:rPr>
                <w:color w:val="0D0D0D" w:themeColor="text1" w:themeTint="F2"/>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90F6C" w14:textId="5F4333CE" w:rsidR="001253B7" w:rsidRDefault="001253B7" w:rsidP="001253B7">
            <w:pPr>
              <w:pStyle w:val="TableRowCentered"/>
              <w:jc w:val="left"/>
              <w:rPr>
                <w:color w:val="0D0D0D" w:themeColor="text1" w:themeTint="F2"/>
                <w:szCs w:val="24"/>
              </w:rPr>
            </w:pPr>
            <w:r w:rsidRPr="1CF50C40">
              <w:rPr>
                <w:sz w:val="22"/>
                <w:szCs w:val="22"/>
              </w:rPr>
              <w:t>4 and 5</w:t>
            </w:r>
          </w:p>
        </w:tc>
      </w:tr>
      <w:tr w:rsidR="001253B7" w14:paraId="1881A6E2" w14:textId="77777777" w:rsidTr="001253B7">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9E817" w14:textId="6CAC30B7" w:rsidR="001253B7" w:rsidRDefault="001253B7" w:rsidP="001253B7">
            <w:pPr>
              <w:pStyle w:val="TableRow"/>
              <w:rPr>
                <w:i/>
                <w:sz w:val="22"/>
              </w:rPr>
            </w:pPr>
            <w:r w:rsidRPr="2DF5CDF1">
              <w:rPr>
                <w:i/>
                <w:iCs/>
                <w:sz w:val="22"/>
                <w:szCs w:val="22"/>
              </w:rPr>
              <w:t>Primary interventions</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5984C2" w14:textId="10BA43EC" w:rsidR="001253B7" w:rsidRDefault="001253B7" w:rsidP="001253B7">
            <w:pPr>
              <w:pStyle w:val="TableRowCentered"/>
              <w:spacing w:line="259" w:lineRule="auto"/>
              <w:jc w:val="left"/>
              <w:rPr>
                <w:sz w:val="22"/>
                <w:szCs w:val="22"/>
              </w:rPr>
            </w:pPr>
            <w:r w:rsidRPr="293128C8">
              <w:rPr>
                <w:sz w:val="22"/>
                <w:szCs w:val="22"/>
              </w:rPr>
              <w:t>Individualised support is vital to reduce the attainment gap.</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79CA8" w14:textId="6CE63C08" w:rsidR="001253B7" w:rsidRDefault="001253B7" w:rsidP="001253B7">
            <w:pPr>
              <w:pStyle w:val="TableRowCentered"/>
              <w:jc w:val="left"/>
              <w:rPr>
                <w:color w:val="0D0D0D" w:themeColor="text1" w:themeTint="F2"/>
                <w:szCs w:val="24"/>
              </w:rPr>
            </w:pPr>
            <w:r w:rsidRPr="1CF50C40">
              <w:rPr>
                <w:sz w:val="22"/>
                <w:szCs w:val="22"/>
              </w:rPr>
              <w:t>1 and 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1DF22C5" w:rsidR="00E66558" w:rsidRDefault="009D71E8">
      <w:pPr>
        <w:spacing w:before="240" w:after="120"/>
      </w:pPr>
      <w:r>
        <w:t xml:space="preserve">Budgeted cost: £ </w:t>
      </w:r>
      <w:r w:rsidR="00CF2900">
        <w:rPr>
          <w:i/>
          <w:iCs/>
        </w:rPr>
        <w:t>13000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253B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E8DE68C" w:rsidR="001253B7" w:rsidRDefault="001253B7" w:rsidP="001253B7">
            <w:pPr>
              <w:pStyle w:val="TableRow"/>
              <w:rPr>
                <w:i/>
                <w:sz w:val="22"/>
              </w:rPr>
            </w:pPr>
            <w:r>
              <w:rPr>
                <w:i/>
                <w:sz w:val="22"/>
              </w:rPr>
              <w:t>Music, Speech and Drama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4D266AC" w:rsidR="001253B7" w:rsidRDefault="001253B7" w:rsidP="001253B7">
            <w:pPr>
              <w:pStyle w:val="TableRowCentered"/>
              <w:jc w:val="left"/>
              <w:rPr>
                <w:sz w:val="22"/>
              </w:rPr>
            </w:pPr>
            <w:r w:rsidRPr="293128C8">
              <w:rPr>
                <w:sz w:val="22"/>
                <w:szCs w:val="22"/>
              </w:rPr>
              <w:t>All pupils should have the opportunity to experience learning an instrument or achieving grades in Speech and Drama. This is also used for targeted support for behaviour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6B997D9" w:rsidR="001253B7" w:rsidRDefault="001253B7" w:rsidP="001253B7">
            <w:pPr>
              <w:pStyle w:val="TableRowCentered"/>
              <w:jc w:val="left"/>
              <w:rPr>
                <w:sz w:val="22"/>
              </w:rPr>
            </w:pPr>
            <w:r w:rsidRPr="293128C8">
              <w:rPr>
                <w:sz w:val="22"/>
                <w:szCs w:val="22"/>
              </w:rPr>
              <w:t>3 and 5</w:t>
            </w:r>
          </w:p>
        </w:tc>
      </w:tr>
      <w:tr w:rsidR="001253B7" w14:paraId="302F82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3C69" w14:textId="3892E734" w:rsidR="001253B7" w:rsidRDefault="001253B7" w:rsidP="001253B7">
            <w:pPr>
              <w:pStyle w:val="TableRow"/>
              <w:rPr>
                <w:i/>
                <w:sz w:val="22"/>
              </w:rPr>
            </w:pPr>
            <w:r>
              <w:rPr>
                <w:i/>
                <w:sz w:val="22"/>
              </w:rPr>
              <w:t xml:space="preserve">Well-being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7B28" w14:textId="25B2924D" w:rsidR="001253B7" w:rsidRPr="58B87FB4" w:rsidRDefault="001253B7" w:rsidP="001253B7">
            <w:pPr>
              <w:pStyle w:val="TableRowCentered"/>
              <w:jc w:val="left"/>
              <w:rPr>
                <w:sz w:val="22"/>
                <w:szCs w:val="22"/>
              </w:rPr>
            </w:pPr>
            <w:r w:rsidRPr="00E47A02">
              <w:rPr>
                <w:sz w:val="22"/>
                <w:szCs w:val="22"/>
              </w:rPr>
              <w:t xml:space="preserve">Pupils at </w:t>
            </w:r>
            <w:r w:rsidR="00246B2D" w:rsidRPr="00E47A02">
              <w:rPr>
                <w:sz w:val="22"/>
                <w:szCs w:val="22"/>
              </w:rPr>
              <w:t xml:space="preserve">St </w:t>
            </w:r>
            <w:proofErr w:type="spellStart"/>
            <w:r w:rsidR="00246B2D" w:rsidRPr="00E47A02">
              <w:rPr>
                <w:sz w:val="22"/>
                <w:szCs w:val="22"/>
              </w:rPr>
              <w:t>Mark’s</w:t>
            </w:r>
            <w:proofErr w:type="spellEnd"/>
            <w:r w:rsidRPr="00E47A02">
              <w:rPr>
                <w:sz w:val="22"/>
                <w:szCs w:val="22"/>
              </w:rPr>
              <w:t xml:space="preserve"> can suffer from a lack of access to hot water, washing machines and uniform that fits. We feel that the </w:t>
            </w:r>
            <w:proofErr w:type="spellStart"/>
            <w:r w:rsidRPr="00E47A02">
              <w:rPr>
                <w:sz w:val="22"/>
                <w:szCs w:val="22"/>
              </w:rPr>
              <w:t>well being</w:t>
            </w:r>
            <w:proofErr w:type="spellEnd"/>
            <w:r w:rsidRPr="00E47A02">
              <w:rPr>
                <w:sz w:val="22"/>
                <w:szCs w:val="22"/>
              </w:rPr>
              <w:t xml:space="preserve"> of our disadvantaged pupils is in jeopardy if they are unable to access support to meet these basic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A6C4" w14:textId="08938BDF" w:rsidR="001253B7" w:rsidRPr="293128C8" w:rsidRDefault="001253B7" w:rsidP="001253B7">
            <w:pPr>
              <w:pStyle w:val="TableRowCentered"/>
              <w:jc w:val="left"/>
              <w:rPr>
                <w:sz w:val="22"/>
                <w:szCs w:val="22"/>
              </w:rPr>
            </w:pPr>
            <w:r w:rsidRPr="1CF50C40">
              <w:rPr>
                <w:sz w:val="22"/>
                <w:szCs w:val="22"/>
              </w:rPr>
              <w:t>5</w:t>
            </w:r>
          </w:p>
        </w:tc>
      </w:tr>
      <w:tr w:rsidR="001253B7" w14:paraId="7A30B9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CCDD" w14:textId="3A3D95B2" w:rsidR="001253B7" w:rsidRDefault="001253B7" w:rsidP="001253B7">
            <w:pPr>
              <w:pStyle w:val="TableRow"/>
              <w:rPr>
                <w:i/>
                <w:sz w:val="22"/>
              </w:rPr>
            </w:pPr>
            <w:r w:rsidRPr="2DF5CDF1">
              <w:rPr>
                <w:i/>
                <w:iCs/>
                <w:sz w:val="22"/>
                <w:szCs w:val="22"/>
              </w:rPr>
              <w:t>Mental Health first aid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3000" w14:textId="0CA92665" w:rsidR="001253B7" w:rsidRPr="58B87FB4" w:rsidRDefault="001253B7" w:rsidP="001253B7">
            <w:pPr>
              <w:pStyle w:val="TableRowCentered"/>
              <w:jc w:val="left"/>
              <w:rPr>
                <w:sz w:val="22"/>
                <w:szCs w:val="22"/>
              </w:rPr>
            </w:pPr>
            <w:r w:rsidRPr="04D9F434">
              <w:rPr>
                <w:sz w:val="22"/>
                <w:szCs w:val="22"/>
              </w:rPr>
              <w:t>The</w:t>
            </w:r>
            <w:r w:rsidR="00F8176D">
              <w:rPr>
                <w:sz w:val="22"/>
                <w:szCs w:val="22"/>
              </w:rPr>
              <w:t>re is a</w:t>
            </w:r>
            <w:r w:rsidRPr="04D9F434">
              <w:rPr>
                <w:sz w:val="22"/>
                <w:szCs w:val="22"/>
              </w:rPr>
              <w:t xml:space="preserve"> need to support </w:t>
            </w:r>
            <w:r w:rsidR="00F8176D">
              <w:rPr>
                <w:sz w:val="22"/>
                <w:szCs w:val="22"/>
              </w:rPr>
              <w:t>our</w:t>
            </w:r>
            <w:r w:rsidRPr="04D9F434">
              <w:rPr>
                <w:sz w:val="22"/>
                <w:szCs w:val="22"/>
              </w:rPr>
              <w:t xml:space="preserve"> pupils when in crisis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A3142" w14:textId="31EBDAD9" w:rsidR="001253B7" w:rsidRPr="1CF50C40" w:rsidRDefault="001253B7" w:rsidP="001253B7">
            <w:pPr>
              <w:pStyle w:val="TableRowCentered"/>
              <w:jc w:val="left"/>
              <w:rPr>
                <w:sz w:val="22"/>
                <w:szCs w:val="22"/>
              </w:rPr>
            </w:pPr>
            <w:r w:rsidRPr="04D9F434">
              <w:rPr>
                <w:sz w:val="22"/>
                <w:szCs w:val="22"/>
              </w:rPr>
              <w:t>5</w:t>
            </w:r>
          </w:p>
        </w:tc>
      </w:tr>
      <w:tr w:rsidR="001253B7" w14:paraId="0AA832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F22A" w14:textId="44C1F569" w:rsidR="001253B7" w:rsidRPr="2DF5CDF1" w:rsidRDefault="001253B7" w:rsidP="001253B7">
            <w:pPr>
              <w:pStyle w:val="TableRow"/>
              <w:rPr>
                <w:i/>
                <w:iCs/>
                <w:sz w:val="22"/>
                <w:szCs w:val="22"/>
              </w:rPr>
            </w:pPr>
            <w:r w:rsidRPr="58B87FB4">
              <w:rPr>
                <w:i/>
                <w:iCs/>
                <w:color w:val="0D0D0D" w:themeColor="text1" w:themeTint="F2"/>
              </w:rPr>
              <w:t>Support to attend trips and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28B9" w14:textId="65AFFE4C" w:rsidR="001253B7" w:rsidRPr="04D9F434" w:rsidRDefault="001253B7" w:rsidP="001253B7">
            <w:pPr>
              <w:pStyle w:val="TableRowCentered"/>
              <w:jc w:val="left"/>
              <w:rPr>
                <w:sz w:val="22"/>
                <w:szCs w:val="22"/>
              </w:rPr>
            </w:pPr>
            <w:proofErr w:type="spellStart"/>
            <w:proofErr w:type="gramStart"/>
            <w:r w:rsidRPr="293128C8">
              <w:rPr>
                <w:color w:val="0D0D0D" w:themeColor="text1" w:themeTint="F2"/>
                <w:sz w:val="22"/>
                <w:szCs w:val="22"/>
              </w:rPr>
              <w:t>Well</w:t>
            </w:r>
            <w:proofErr w:type="gramEnd"/>
            <w:r w:rsidRPr="293128C8">
              <w:rPr>
                <w:color w:val="0D0D0D" w:themeColor="text1" w:themeTint="F2"/>
                <w:sz w:val="22"/>
                <w:szCs w:val="22"/>
              </w:rPr>
              <w:t xml:space="preserve"> being</w:t>
            </w:r>
            <w:proofErr w:type="spellEnd"/>
            <w:r w:rsidRPr="293128C8">
              <w:rPr>
                <w:color w:val="0D0D0D" w:themeColor="text1" w:themeTint="F2"/>
                <w:sz w:val="22"/>
                <w:szCs w:val="22"/>
              </w:rPr>
              <w:t xml:space="preserve"> and the acquisition of cultural capital is vital </w:t>
            </w:r>
            <w:r w:rsidR="00F8176D">
              <w:rPr>
                <w:color w:val="0D0D0D" w:themeColor="text1" w:themeTint="F2"/>
                <w:sz w:val="22"/>
                <w:szCs w:val="22"/>
              </w:rPr>
              <w:t>for</w:t>
            </w:r>
            <w:r w:rsidRPr="293128C8">
              <w:rPr>
                <w:color w:val="0D0D0D" w:themeColor="text1" w:themeTint="F2"/>
                <w:sz w:val="22"/>
                <w:szCs w:val="22"/>
              </w:rPr>
              <w:t xml:space="preserve"> our disadvantaged pupils. Without support many pupils would not be able to take part in </w:t>
            </w:r>
            <w:proofErr w:type="spellStart"/>
            <w:r w:rsidRPr="293128C8">
              <w:rPr>
                <w:color w:val="0D0D0D" w:themeColor="text1" w:themeTint="F2"/>
                <w:sz w:val="22"/>
                <w:szCs w:val="22"/>
              </w:rPr>
              <w:t>extra curricular</w:t>
            </w:r>
            <w:proofErr w:type="spellEnd"/>
            <w:r w:rsidRPr="293128C8">
              <w:rPr>
                <w:color w:val="0D0D0D" w:themeColor="text1" w:themeTint="F2"/>
                <w:sz w:val="22"/>
                <w:szCs w:val="22"/>
              </w:rPr>
              <w:t xml:space="preserve"> trips and visits.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1799" w14:textId="2E3F84AC" w:rsidR="001253B7" w:rsidRPr="04D9F434" w:rsidRDefault="001253B7" w:rsidP="001253B7">
            <w:pPr>
              <w:pStyle w:val="TableRowCentered"/>
              <w:jc w:val="left"/>
              <w:rPr>
                <w:sz w:val="22"/>
                <w:szCs w:val="22"/>
              </w:rPr>
            </w:pPr>
            <w:r w:rsidRPr="293128C8">
              <w:rPr>
                <w:color w:val="0D0D0D" w:themeColor="text1" w:themeTint="F2"/>
              </w:rPr>
              <w:t>3 and 5</w:t>
            </w:r>
          </w:p>
        </w:tc>
      </w:tr>
    </w:tbl>
    <w:p w14:paraId="2A7D5540" w14:textId="77777777" w:rsidR="00E66558" w:rsidRDefault="00E66558">
      <w:pPr>
        <w:spacing w:before="240" w:after="0"/>
        <w:rPr>
          <w:b/>
          <w:bCs/>
          <w:color w:val="104F75"/>
          <w:sz w:val="28"/>
          <w:szCs w:val="28"/>
        </w:rPr>
      </w:pPr>
    </w:p>
    <w:p w14:paraId="2A7D5541" w14:textId="04F95257" w:rsidR="00E66558" w:rsidRDefault="009D71E8" w:rsidP="00120AB1">
      <w:r>
        <w:rPr>
          <w:b/>
          <w:bCs/>
          <w:color w:val="104F75"/>
          <w:sz w:val="28"/>
          <w:szCs w:val="28"/>
        </w:rPr>
        <w:t xml:space="preserve">Total budgeted cost: £ </w:t>
      </w:r>
      <w:r w:rsidR="00707DB7">
        <w:rPr>
          <w:b/>
          <w:bCs/>
          <w:color w:val="104F75"/>
          <w:sz w:val="28"/>
          <w:szCs w:val="28"/>
        </w:rPr>
        <w:t>34,000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726" w:type="dxa"/>
        <w:tblCellMar>
          <w:left w:w="10" w:type="dxa"/>
          <w:right w:w="10" w:type="dxa"/>
        </w:tblCellMar>
        <w:tblLook w:val="04A0" w:firstRow="1" w:lastRow="0" w:firstColumn="1" w:lastColumn="0" w:noHBand="0" w:noVBand="1"/>
      </w:tblPr>
      <w:tblGrid>
        <w:gridCol w:w="9726"/>
      </w:tblGrid>
      <w:tr w:rsidR="00173D4C" w14:paraId="7FB51099" w14:textId="77777777" w:rsidTr="00F05176">
        <w:trPr>
          <w:trHeight w:val="1102"/>
        </w:trPr>
        <w:tc>
          <w:tcPr>
            <w:tcW w:w="9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89557" w14:textId="034464F1" w:rsidR="00D26CB1" w:rsidRDefault="00D26CB1" w:rsidP="001671ED">
            <w:pPr>
              <w:spacing w:before="60"/>
              <w:rPr>
                <w:i/>
                <w:iCs/>
                <w:lang w:eastAsia="en-US"/>
              </w:rPr>
            </w:pPr>
            <w:r>
              <w:rPr>
                <w:i/>
                <w:iCs/>
                <w:lang w:eastAsia="en-US"/>
              </w:rPr>
              <w:t>Key Stage 2 SATS</w:t>
            </w:r>
          </w:p>
          <w:p w14:paraId="71E11FDB" w14:textId="669818DD" w:rsidR="00D26CB1" w:rsidRDefault="00D26CB1" w:rsidP="001671ED">
            <w:pPr>
              <w:spacing w:before="60"/>
              <w:rPr>
                <w:i/>
                <w:iCs/>
                <w:lang w:eastAsia="en-US"/>
              </w:rPr>
            </w:pPr>
            <w:r>
              <w:rPr>
                <w:i/>
                <w:iCs/>
                <w:lang w:eastAsia="en-US"/>
              </w:rPr>
              <w:t>Please note the FSM6 line for outcomes. These</w:t>
            </w:r>
            <w:r w:rsidR="00DC4232">
              <w:rPr>
                <w:i/>
                <w:iCs/>
                <w:lang w:eastAsia="en-US"/>
              </w:rPr>
              <w:t xml:space="preserve"> results are based on only 3 children.</w:t>
            </w:r>
          </w:p>
          <w:p w14:paraId="2D5850BF" w14:textId="301E77D8" w:rsidR="00D26CB1" w:rsidRDefault="00D26CB1" w:rsidP="001671ED">
            <w:pPr>
              <w:spacing w:before="60"/>
              <w:rPr>
                <w:i/>
                <w:iCs/>
                <w:lang w:eastAsia="en-US"/>
              </w:rPr>
            </w:pPr>
            <w:r w:rsidRPr="00D26CB1">
              <w:rPr>
                <w:i/>
                <w:iCs/>
                <w:noProof/>
                <w:lang w:eastAsia="en-US"/>
              </w:rPr>
              <w:drawing>
                <wp:inline distT="0" distB="0" distL="0" distR="0" wp14:anchorId="1BE865C0" wp14:editId="3D9426C8">
                  <wp:extent cx="6029960" cy="2844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960" cy="2844800"/>
                          </a:xfrm>
                          <a:prstGeom prst="rect">
                            <a:avLst/>
                          </a:prstGeom>
                        </pic:spPr>
                      </pic:pic>
                    </a:graphicData>
                  </a:graphic>
                </wp:inline>
              </w:drawing>
            </w:r>
          </w:p>
          <w:p w14:paraId="099836B5" w14:textId="79E0AB6B" w:rsidR="00D26CB1" w:rsidRDefault="00D26CB1" w:rsidP="001671ED">
            <w:pPr>
              <w:spacing w:before="60"/>
              <w:rPr>
                <w:i/>
                <w:iCs/>
                <w:lang w:eastAsia="en-US"/>
              </w:rPr>
            </w:pPr>
            <w:r>
              <w:rPr>
                <w:i/>
                <w:iCs/>
                <w:lang w:eastAsia="en-US"/>
              </w:rPr>
              <w:t>KS1 SATS</w:t>
            </w:r>
          </w:p>
          <w:p w14:paraId="3B1D229B" w14:textId="7B8692A8" w:rsidR="00DC4232" w:rsidRDefault="00DC4232" w:rsidP="001671ED">
            <w:pPr>
              <w:spacing w:before="60"/>
              <w:rPr>
                <w:i/>
                <w:iCs/>
                <w:lang w:eastAsia="en-US"/>
              </w:rPr>
            </w:pPr>
            <w:r>
              <w:rPr>
                <w:i/>
                <w:iCs/>
                <w:lang w:eastAsia="en-US"/>
              </w:rPr>
              <w:t>Please note the FSM6 line for outcomes. These results are based on only 1 child so not statistically relevant.</w:t>
            </w:r>
          </w:p>
          <w:p w14:paraId="172DF45B" w14:textId="1B1E5303" w:rsidR="00D26CB1" w:rsidRDefault="00D26CB1" w:rsidP="001671ED">
            <w:pPr>
              <w:spacing w:before="60"/>
              <w:rPr>
                <w:i/>
                <w:iCs/>
                <w:lang w:eastAsia="en-US"/>
              </w:rPr>
            </w:pPr>
            <w:r w:rsidRPr="00D26CB1">
              <w:rPr>
                <w:i/>
                <w:iCs/>
                <w:noProof/>
                <w:lang w:eastAsia="en-US"/>
              </w:rPr>
              <w:drawing>
                <wp:inline distT="0" distB="0" distL="0" distR="0" wp14:anchorId="75634C97" wp14:editId="7D7E2707">
                  <wp:extent cx="6029960" cy="2667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2667000"/>
                          </a:xfrm>
                          <a:prstGeom prst="rect">
                            <a:avLst/>
                          </a:prstGeom>
                        </pic:spPr>
                      </pic:pic>
                    </a:graphicData>
                  </a:graphic>
                </wp:inline>
              </w:drawing>
            </w:r>
          </w:p>
          <w:p w14:paraId="5023926C" w14:textId="637A1421" w:rsidR="00173D4C" w:rsidRDefault="00173D4C" w:rsidP="00EB09BC"/>
        </w:tc>
      </w:tr>
    </w:tbl>
    <w:p w14:paraId="4813F1AA" w14:textId="0B07F867" w:rsidR="00F05176" w:rsidRDefault="00F05176" w:rsidP="00A82A98">
      <w:pPr>
        <w:pStyle w:val="Heading2"/>
      </w:pPr>
    </w:p>
    <w:p w14:paraId="4BD133C6" w14:textId="33BC2126" w:rsidR="00F05176" w:rsidRDefault="00F05176" w:rsidP="00F05176"/>
    <w:tbl>
      <w:tblPr>
        <w:tblStyle w:val="TableGrid"/>
        <w:tblW w:w="10169" w:type="dxa"/>
        <w:tblLook w:val="04A0" w:firstRow="1" w:lastRow="0" w:firstColumn="1" w:lastColumn="0" w:noHBand="0" w:noVBand="1"/>
      </w:tblPr>
      <w:tblGrid>
        <w:gridCol w:w="2026"/>
        <w:gridCol w:w="2989"/>
        <w:gridCol w:w="5154"/>
      </w:tblGrid>
      <w:tr w:rsidR="00F05176" w14:paraId="0402D2E7" w14:textId="77777777" w:rsidTr="00EB351C">
        <w:trPr>
          <w:trHeight w:val="308"/>
        </w:trPr>
        <w:tc>
          <w:tcPr>
            <w:tcW w:w="5015" w:type="dxa"/>
            <w:gridSpan w:val="2"/>
            <w:shd w:val="clear" w:color="auto" w:fill="auto"/>
            <w:tcMar>
              <w:top w:w="57" w:type="dxa"/>
              <w:bottom w:w="57" w:type="dxa"/>
            </w:tcMar>
          </w:tcPr>
          <w:p w14:paraId="54B386CF" w14:textId="77777777" w:rsidR="00F05176" w:rsidRPr="000B25ED" w:rsidRDefault="00F05176" w:rsidP="00EB351C">
            <w:pPr>
              <w:spacing w:after="0" w:line="240" w:lineRule="auto"/>
              <w:rPr>
                <w:rFonts w:cs="Arial"/>
                <w:b/>
              </w:rPr>
            </w:pPr>
            <w:r w:rsidRPr="000B25ED">
              <w:rPr>
                <w:rFonts w:cs="Arial"/>
                <w:b/>
              </w:rPr>
              <w:t>Previous Academic Year</w:t>
            </w:r>
          </w:p>
        </w:tc>
        <w:tc>
          <w:tcPr>
            <w:tcW w:w="5154" w:type="dxa"/>
            <w:shd w:val="clear" w:color="auto" w:fill="auto"/>
          </w:tcPr>
          <w:p w14:paraId="06479A9B" w14:textId="77777777" w:rsidR="00F05176" w:rsidRPr="003409F2" w:rsidRDefault="00F05176" w:rsidP="00EB351C">
            <w:pPr>
              <w:spacing w:after="0" w:line="240" w:lineRule="auto"/>
              <w:ind w:left="720" w:hanging="360"/>
              <w:rPr>
                <w:rFonts w:cs="Arial"/>
                <w:b/>
                <w:bCs/>
              </w:rPr>
            </w:pPr>
            <w:r w:rsidRPr="04D9F434">
              <w:rPr>
                <w:rFonts w:cs="Arial"/>
                <w:b/>
                <w:bCs/>
              </w:rPr>
              <w:t>20</w:t>
            </w:r>
            <w:r>
              <w:rPr>
                <w:rFonts w:cs="Arial"/>
                <w:b/>
                <w:bCs/>
              </w:rPr>
              <w:t>22-23</w:t>
            </w:r>
          </w:p>
        </w:tc>
      </w:tr>
      <w:tr w:rsidR="00F05176" w14:paraId="67F5817E" w14:textId="77777777" w:rsidTr="00EB351C">
        <w:trPr>
          <w:trHeight w:val="19"/>
        </w:trPr>
        <w:tc>
          <w:tcPr>
            <w:tcW w:w="10169" w:type="dxa"/>
            <w:gridSpan w:val="3"/>
            <w:shd w:val="clear" w:color="auto" w:fill="A6A6A6" w:themeFill="background1" w:themeFillShade="A6"/>
            <w:tcMar>
              <w:top w:w="57" w:type="dxa"/>
              <w:bottom w:w="57" w:type="dxa"/>
            </w:tcMar>
          </w:tcPr>
          <w:p w14:paraId="7B6189EF" w14:textId="77777777" w:rsidR="00F05176" w:rsidRPr="009079EE" w:rsidRDefault="00F05176" w:rsidP="00EB351C">
            <w:pPr>
              <w:suppressAutoHyphens w:val="0"/>
              <w:spacing w:after="0" w:line="240" w:lineRule="auto"/>
              <w:rPr>
                <w:rFonts w:cs="Arial"/>
                <w:b/>
                <w:bCs/>
                <w:color w:val="0D0D0D" w:themeColor="text1" w:themeTint="F2"/>
              </w:rPr>
            </w:pPr>
            <w:r w:rsidRPr="1CF50C40">
              <w:rPr>
                <w:rFonts w:cs="Arial"/>
                <w:b/>
                <w:bCs/>
              </w:rPr>
              <w:t>Quality of teaching for all</w:t>
            </w:r>
          </w:p>
        </w:tc>
      </w:tr>
      <w:tr w:rsidR="00F05176" w14:paraId="26B66883" w14:textId="77777777" w:rsidTr="00F05176">
        <w:trPr>
          <w:trHeight w:val="965"/>
        </w:trPr>
        <w:tc>
          <w:tcPr>
            <w:tcW w:w="2026" w:type="dxa"/>
            <w:tcMar>
              <w:top w:w="57" w:type="dxa"/>
              <w:bottom w:w="57" w:type="dxa"/>
            </w:tcMar>
          </w:tcPr>
          <w:p w14:paraId="5075BFB9" w14:textId="77777777" w:rsidR="00F05176" w:rsidRPr="006D447D" w:rsidRDefault="00F05176" w:rsidP="00EB351C">
            <w:pPr>
              <w:spacing w:after="0"/>
              <w:rPr>
                <w:rFonts w:cs="Arial"/>
                <w:b/>
              </w:rPr>
            </w:pPr>
            <w:r>
              <w:rPr>
                <w:rFonts w:cs="Arial"/>
                <w:b/>
              </w:rPr>
              <w:t>Desired o</w:t>
            </w:r>
            <w:r w:rsidRPr="006D447D">
              <w:rPr>
                <w:rFonts w:cs="Arial"/>
                <w:b/>
              </w:rPr>
              <w:t>utcome</w:t>
            </w:r>
          </w:p>
        </w:tc>
        <w:tc>
          <w:tcPr>
            <w:tcW w:w="2989" w:type="dxa"/>
            <w:tcMar>
              <w:top w:w="57" w:type="dxa"/>
              <w:bottom w:w="57" w:type="dxa"/>
            </w:tcMar>
          </w:tcPr>
          <w:p w14:paraId="50490D33" w14:textId="77777777" w:rsidR="00F05176" w:rsidRPr="006D447D" w:rsidRDefault="00F05176" w:rsidP="00EB351C">
            <w:pPr>
              <w:spacing w:after="0"/>
              <w:rPr>
                <w:rFonts w:cs="Arial"/>
                <w:b/>
              </w:rPr>
            </w:pPr>
            <w:r w:rsidRPr="006D447D">
              <w:rPr>
                <w:rFonts w:cs="Arial"/>
                <w:b/>
              </w:rPr>
              <w:t xml:space="preserve">Chosen </w:t>
            </w:r>
            <w:r>
              <w:rPr>
                <w:rFonts w:cs="Arial"/>
                <w:b/>
              </w:rPr>
              <w:t xml:space="preserve">action / </w:t>
            </w:r>
            <w:r w:rsidRPr="006D447D">
              <w:rPr>
                <w:rFonts w:cs="Arial"/>
                <w:b/>
              </w:rPr>
              <w:t>approach</w:t>
            </w:r>
          </w:p>
        </w:tc>
        <w:tc>
          <w:tcPr>
            <w:tcW w:w="5154" w:type="dxa"/>
            <w:tcMar>
              <w:top w:w="57" w:type="dxa"/>
              <w:bottom w:w="57" w:type="dxa"/>
            </w:tcMar>
          </w:tcPr>
          <w:p w14:paraId="1D8C3412" w14:textId="77777777" w:rsidR="00F05176" w:rsidRPr="005A04D4" w:rsidRDefault="00F05176" w:rsidP="00EB351C">
            <w:pPr>
              <w:spacing w:after="0"/>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r>
      <w:tr w:rsidR="00F05176" w:rsidRPr="00EA4CF9" w14:paraId="501E4B43" w14:textId="77777777" w:rsidTr="00F05176">
        <w:trPr>
          <w:trHeight w:val="1354"/>
        </w:trPr>
        <w:tc>
          <w:tcPr>
            <w:tcW w:w="2026" w:type="dxa"/>
            <w:tcMar>
              <w:top w:w="57" w:type="dxa"/>
              <w:bottom w:w="57" w:type="dxa"/>
            </w:tcMar>
          </w:tcPr>
          <w:p w14:paraId="3ED4387D"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Weak Language and Communication skills including a lower reading age</w:t>
            </w:r>
          </w:p>
          <w:p w14:paraId="6E87F783"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And</w:t>
            </w:r>
          </w:p>
          <w:p w14:paraId="712F5034"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Lower attainment and progress due to COVID-19 than before the pandemic</w:t>
            </w:r>
          </w:p>
        </w:tc>
        <w:tc>
          <w:tcPr>
            <w:tcW w:w="2989" w:type="dxa"/>
            <w:tcMar>
              <w:top w:w="57" w:type="dxa"/>
              <w:bottom w:w="57" w:type="dxa"/>
            </w:tcMar>
          </w:tcPr>
          <w:p w14:paraId="3F24BF38" w14:textId="77777777" w:rsidR="00F05176" w:rsidRDefault="00F05176" w:rsidP="00EB351C">
            <w:pPr>
              <w:pStyle w:val="TableRow"/>
              <w:rPr>
                <w:rFonts w:cs="Arial"/>
                <w:sz w:val="18"/>
                <w:szCs w:val="18"/>
              </w:rPr>
            </w:pPr>
            <w:r w:rsidRPr="293128C8">
              <w:rPr>
                <w:rFonts w:cs="Arial"/>
                <w:color w:val="0D0D0D" w:themeColor="text1" w:themeTint="F2"/>
                <w:sz w:val="18"/>
                <w:szCs w:val="18"/>
              </w:rPr>
              <w:t>Curriculum development CPD</w:t>
            </w:r>
          </w:p>
        </w:tc>
        <w:tc>
          <w:tcPr>
            <w:tcW w:w="5154" w:type="dxa"/>
            <w:tcMar>
              <w:top w:w="57" w:type="dxa"/>
              <w:bottom w:w="57" w:type="dxa"/>
            </w:tcMar>
          </w:tcPr>
          <w:p w14:paraId="7FC8A992" w14:textId="77777777" w:rsidR="00F05176" w:rsidRDefault="00F05176" w:rsidP="00EB351C">
            <w:pPr>
              <w:pStyle w:val="TableRowCentered"/>
              <w:spacing w:line="259" w:lineRule="auto"/>
              <w:jc w:val="left"/>
              <w:rPr>
                <w:rFonts w:cs="Arial"/>
                <w:color w:val="000000" w:themeColor="text1"/>
                <w:sz w:val="18"/>
                <w:szCs w:val="18"/>
              </w:rPr>
            </w:pPr>
            <w:r w:rsidRPr="7662AE92">
              <w:rPr>
                <w:rFonts w:cs="Arial"/>
                <w:color w:val="000000" w:themeColor="text1"/>
                <w:sz w:val="18"/>
                <w:szCs w:val="18"/>
              </w:rPr>
              <w:t>We started this journey in 21-22 and the benefits are beginning to be realised. The learning experience is more coherent which positively affects all pupils. More work is still to be done in the coming year.</w:t>
            </w:r>
          </w:p>
        </w:tc>
      </w:tr>
      <w:tr w:rsidR="00F05176" w:rsidRPr="00EA4CF9" w14:paraId="06B2D8A2" w14:textId="77777777" w:rsidTr="00F05176">
        <w:trPr>
          <w:trHeight w:val="2347"/>
        </w:trPr>
        <w:tc>
          <w:tcPr>
            <w:tcW w:w="2026" w:type="dxa"/>
            <w:tcMar>
              <w:top w:w="57" w:type="dxa"/>
              <w:bottom w:w="57" w:type="dxa"/>
            </w:tcMar>
          </w:tcPr>
          <w:p w14:paraId="7F9D4855" w14:textId="77777777" w:rsidR="00F05176" w:rsidRDefault="00F05176" w:rsidP="00F05176">
            <w:pPr>
              <w:spacing w:after="0" w:line="240" w:lineRule="auto"/>
              <w:rPr>
                <w:rFonts w:cs="Arial"/>
                <w:sz w:val="18"/>
                <w:szCs w:val="18"/>
              </w:rPr>
            </w:pPr>
            <w:r>
              <w:rPr>
                <w:rFonts w:cs="Arial"/>
                <w:color w:val="0D0D0D" w:themeColor="text1" w:themeTint="F2"/>
                <w:sz w:val="18"/>
                <w:szCs w:val="18"/>
              </w:rPr>
              <w:t xml:space="preserve"> </w:t>
            </w:r>
            <w:r w:rsidRPr="293128C8">
              <w:rPr>
                <w:rFonts w:cs="Arial"/>
                <w:color w:val="0D0D0D" w:themeColor="text1" w:themeTint="F2"/>
                <w:sz w:val="18"/>
                <w:szCs w:val="18"/>
              </w:rPr>
              <w:t>Weak Language and Communication skills including a lower reading age</w:t>
            </w:r>
          </w:p>
          <w:p w14:paraId="4FECD8A4" w14:textId="77777777" w:rsidR="00F05176" w:rsidRDefault="00F05176" w:rsidP="00F05176">
            <w:pPr>
              <w:spacing w:after="0" w:line="240" w:lineRule="auto"/>
              <w:rPr>
                <w:rFonts w:cs="Arial"/>
                <w:sz w:val="18"/>
                <w:szCs w:val="18"/>
              </w:rPr>
            </w:pPr>
            <w:r w:rsidRPr="293128C8">
              <w:rPr>
                <w:rFonts w:cs="Arial"/>
                <w:color w:val="0D0D0D" w:themeColor="text1" w:themeTint="F2"/>
                <w:sz w:val="18"/>
                <w:szCs w:val="18"/>
              </w:rPr>
              <w:t>And</w:t>
            </w:r>
          </w:p>
          <w:p w14:paraId="30BF9772" w14:textId="4C3FFDD8" w:rsidR="00F05176" w:rsidRDefault="00F05176" w:rsidP="00F05176">
            <w:pPr>
              <w:spacing w:after="0" w:line="240" w:lineRule="auto"/>
              <w:rPr>
                <w:rFonts w:cs="Arial"/>
                <w:sz w:val="18"/>
                <w:szCs w:val="18"/>
              </w:rPr>
            </w:pPr>
            <w:r w:rsidRPr="293128C8">
              <w:rPr>
                <w:rFonts w:cs="Arial"/>
                <w:color w:val="0D0D0D" w:themeColor="text1" w:themeTint="F2"/>
                <w:sz w:val="18"/>
                <w:szCs w:val="18"/>
              </w:rPr>
              <w:t>Lower attainment and progress due to COVID-19 than before the pandemic</w:t>
            </w:r>
          </w:p>
        </w:tc>
        <w:tc>
          <w:tcPr>
            <w:tcW w:w="2989" w:type="dxa"/>
            <w:tcMar>
              <w:top w:w="57" w:type="dxa"/>
              <w:bottom w:w="57" w:type="dxa"/>
            </w:tcMar>
          </w:tcPr>
          <w:p w14:paraId="4121B5DF" w14:textId="77777777" w:rsidR="00F05176" w:rsidRDefault="00F05176" w:rsidP="00EB351C">
            <w:pPr>
              <w:pStyle w:val="TableRow"/>
              <w:rPr>
                <w:rFonts w:cs="Arial"/>
                <w:sz w:val="18"/>
                <w:szCs w:val="18"/>
              </w:rPr>
            </w:pPr>
            <w:r w:rsidRPr="293128C8">
              <w:rPr>
                <w:rFonts w:cs="Arial"/>
                <w:color w:val="0D0D0D" w:themeColor="text1" w:themeTint="F2"/>
                <w:sz w:val="18"/>
                <w:szCs w:val="18"/>
              </w:rPr>
              <w:t>Phonics training</w:t>
            </w:r>
          </w:p>
        </w:tc>
        <w:tc>
          <w:tcPr>
            <w:tcW w:w="5154" w:type="dxa"/>
            <w:tcMar>
              <w:top w:w="57" w:type="dxa"/>
              <w:bottom w:w="57" w:type="dxa"/>
            </w:tcMar>
          </w:tcPr>
          <w:p w14:paraId="6C5CD4A5" w14:textId="09673FB3" w:rsidR="00F05176" w:rsidRDefault="00F05176" w:rsidP="00EB351C">
            <w:pPr>
              <w:pStyle w:val="TableRowCentered"/>
              <w:spacing w:line="259" w:lineRule="auto"/>
              <w:jc w:val="left"/>
              <w:rPr>
                <w:rFonts w:cs="Arial"/>
                <w:color w:val="0D0D0D" w:themeColor="text1" w:themeTint="F2"/>
                <w:sz w:val="18"/>
                <w:szCs w:val="18"/>
              </w:rPr>
            </w:pPr>
            <w:r>
              <w:rPr>
                <w:rFonts w:cs="Arial"/>
                <w:color w:val="0D0D0D" w:themeColor="text1" w:themeTint="F2"/>
                <w:sz w:val="18"/>
                <w:szCs w:val="18"/>
              </w:rPr>
              <w:t>New scheme introduced and up and running with key staff trained</w:t>
            </w:r>
          </w:p>
          <w:p w14:paraId="4056BFB8" w14:textId="77777777" w:rsidR="00F05176" w:rsidRDefault="00F05176" w:rsidP="00EB351C">
            <w:pPr>
              <w:pStyle w:val="TableRowCentered"/>
              <w:spacing w:line="259" w:lineRule="auto"/>
              <w:jc w:val="left"/>
              <w:rPr>
                <w:rFonts w:cs="Arial"/>
                <w:color w:val="0D0D0D" w:themeColor="text1" w:themeTint="F2"/>
                <w:sz w:val="18"/>
                <w:szCs w:val="18"/>
              </w:rPr>
            </w:pPr>
          </w:p>
          <w:p w14:paraId="5B05C065" w14:textId="77777777" w:rsidR="00F05176" w:rsidRDefault="00F05176" w:rsidP="00EB351C">
            <w:pPr>
              <w:spacing w:before="60" w:after="60" w:line="259" w:lineRule="auto"/>
              <w:ind w:left="57" w:right="57"/>
              <w:rPr>
                <w:rFonts w:cs="Arial"/>
                <w:sz w:val="18"/>
                <w:szCs w:val="18"/>
              </w:rPr>
            </w:pPr>
          </w:p>
        </w:tc>
      </w:tr>
      <w:tr w:rsidR="00F05176" w14:paraId="2A836B73" w14:textId="77777777" w:rsidTr="00F05176">
        <w:trPr>
          <w:trHeight w:val="2046"/>
        </w:trPr>
        <w:tc>
          <w:tcPr>
            <w:tcW w:w="2026" w:type="dxa"/>
            <w:tcMar>
              <w:top w:w="57" w:type="dxa"/>
              <w:bottom w:w="57" w:type="dxa"/>
            </w:tcMar>
          </w:tcPr>
          <w:p w14:paraId="162D6E95"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Weak Language and Communication skills including a lower reading age</w:t>
            </w:r>
          </w:p>
          <w:p w14:paraId="67F818A7"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And</w:t>
            </w:r>
          </w:p>
          <w:p w14:paraId="33D6A64B" w14:textId="77777777" w:rsidR="00F05176" w:rsidRDefault="00F05176" w:rsidP="00EB351C">
            <w:pPr>
              <w:spacing w:after="0" w:line="240" w:lineRule="auto"/>
              <w:rPr>
                <w:rFonts w:cs="Arial"/>
                <w:sz w:val="18"/>
                <w:szCs w:val="18"/>
              </w:rPr>
            </w:pPr>
            <w:r w:rsidRPr="293128C8">
              <w:rPr>
                <w:rFonts w:cs="Arial"/>
                <w:color w:val="0D0D0D" w:themeColor="text1" w:themeTint="F2"/>
                <w:sz w:val="18"/>
                <w:szCs w:val="18"/>
              </w:rPr>
              <w:t>Lower attainment and progress due to COVID-19 than before the pandemic</w:t>
            </w:r>
          </w:p>
        </w:tc>
        <w:tc>
          <w:tcPr>
            <w:tcW w:w="2989" w:type="dxa"/>
            <w:tcMar>
              <w:top w:w="57" w:type="dxa"/>
              <w:bottom w:w="57" w:type="dxa"/>
            </w:tcMar>
          </w:tcPr>
          <w:p w14:paraId="4CB66D1A" w14:textId="77777777" w:rsidR="00F05176" w:rsidRDefault="00F05176" w:rsidP="00EB351C">
            <w:pPr>
              <w:pStyle w:val="TableRow"/>
              <w:rPr>
                <w:rFonts w:cs="Arial"/>
                <w:sz w:val="18"/>
                <w:szCs w:val="18"/>
              </w:rPr>
            </w:pPr>
            <w:r w:rsidRPr="293128C8">
              <w:rPr>
                <w:rFonts w:cs="Arial"/>
                <w:color w:val="0D0D0D" w:themeColor="text1" w:themeTint="F2"/>
                <w:sz w:val="18"/>
                <w:szCs w:val="18"/>
              </w:rPr>
              <w:t>Phonics resources</w:t>
            </w:r>
          </w:p>
        </w:tc>
        <w:tc>
          <w:tcPr>
            <w:tcW w:w="5154" w:type="dxa"/>
            <w:tcMar>
              <w:top w:w="57" w:type="dxa"/>
              <w:bottom w:w="57" w:type="dxa"/>
            </w:tcMar>
          </w:tcPr>
          <w:p w14:paraId="0D8460D4" w14:textId="77777777" w:rsidR="00F05176" w:rsidRDefault="00F05176" w:rsidP="00EB351C">
            <w:pPr>
              <w:pStyle w:val="TableRowCentered"/>
              <w:spacing w:line="259" w:lineRule="auto"/>
              <w:jc w:val="left"/>
            </w:pPr>
            <w:r w:rsidRPr="293128C8">
              <w:rPr>
                <w:rFonts w:cs="Arial"/>
                <w:color w:val="0D0D0D" w:themeColor="text1" w:themeTint="F2"/>
                <w:sz w:val="18"/>
                <w:szCs w:val="18"/>
              </w:rPr>
              <w:t>Pupils are engaging more effectively with phonics due to the improvement in the resources. Phonics results are improving.</w:t>
            </w:r>
          </w:p>
        </w:tc>
      </w:tr>
      <w:tr w:rsidR="00F05176" w14:paraId="2F008B49" w14:textId="77777777" w:rsidTr="00EB351C">
        <w:trPr>
          <w:trHeight w:val="556"/>
        </w:trPr>
        <w:tc>
          <w:tcPr>
            <w:tcW w:w="10169" w:type="dxa"/>
            <w:gridSpan w:val="3"/>
            <w:shd w:val="clear" w:color="auto" w:fill="BFBFBF" w:themeFill="background1" w:themeFillShade="BF"/>
            <w:tcMar>
              <w:top w:w="57" w:type="dxa"/>
              <w:bottom w:w="57" w:type="dxa"/>
            </w:tcMar>
          </w:tcPr>
          <w:p w14:paraId="5B498858" w14:textId="77777777" w:rsidR="00F05176" w:rsidRDefault="00F05176" w:rsidP="00EB351C">
            <w:pPr>
              <w:rPr>
                <w:rFonts w:cs="Arial"/>
                <w:b/>
                <w:bCs/>
              </w:rPr>
            </w:pPr>
            <w:r w:rsidRPr="293128C8">
              <w:rPr>
                <w:rFonts w:cs="Arial"/>
                <w:b/>
                <w:bCs/>
                <w:color w:val="0D0D0D" w:themeColor="text1" w:themeTint="F2"/>
              </w:rPr>
              <w:t>Targeted support</w:t>
            </w:r>
          </w:p>
        </w:tc>
      </w:tr>
      <w:tr w:rsidR="00F05176" w:rsidRPr="00EA4CF9" w14:paraId="04798B28" w14:textId="77777777" w:rsidTr="00F05176">
        <w:trPr>
          <w:trHeight w:val="1092"/>
        </w:trPr>
        <w:tc>
          <w:tcPr>
            <w:tcW w:w="2026" w:type="dxa"/>
            <w:tcMar>
              <w:top w:w="57" w:type="dxa"/>
              <w:bottom w:w="57" w:type="dxa"/>
            </w:tcMar>
          </w:tcPr>
          <w:p w14:paraId="42EC37E7" w14:textId="77777777" w:rsidR="00F05176" w:rsidRPr="000A25FC" w:rsidRDefault="00F05176" w:rsidP="00EB351C">
            <w:pPr>
              <w:spacing w:after="0"/>
              <w:rPr>
                <w:rFonts w:cs="Arial"/>
                <w:b/>
                <w:bCs/>
              </w:rPr>
            </w:pPr>
            <w:r w:rsidRPr="293128C8">
              <w:rPr>
                <w:rFonts w:cs="Arial"/>
                <w:b/>
                <w:bCs/>
                <w:color w:val="0D0D0D" w:themeColor="text1" w:themeTint="F2"/>
              </w:rPr>
              <w:t>Desired outcome</w:t>
            </w:r>
          </w:p>
        </w:tc>
        <w:tc>
          <w:tcPr>
            <w:tcW w:w="2989" w:type="dxa"/>
            <w:tcMar>
              <w:top w:w="57" w:type="dxa"/>
              <w:bottom w:w="57" w:type="dxa"/>
            </w:tcMar>
          </w:tcPr>
          <w:p w14:paraId="7B295E39" w14:textId="77777777" w:rsidR="00F05176" w:rsidRPr="000A25FC" w:rsidRDefault="00F05176" w:rsidP="00EB351C">
            <w:pPr>
              <w:spacing w:after="0"/>
              <w:rPr>
                <w:rFonts w:cs="Arial"/>
                <w:b/>
                <w:bCs/>
              </w:rPr>
            </w:pPr>
            <w:r w:rsidRPr="293128C8">
              <w:rPr>
                <w:rFonts w:cs="Arial"/>
                <w:b/>
                <w:bCs/>
                <w:color w:val="0D0D0D" w:themeColor="text1" w:themeTint="F2"/>
              </w:rPr>
              <w:t>Chosen action / approach</w:t>
            </w:r>
          </w:p>
        </w:tc>
        <w:tc>
          <w:tcPr>
            <w:tcW w:w="5154" w:type="dxa"/>
            <w:tcMar>
              <w:top w:w="57" w:type="dxa"/>
              <w:bottom w:w="57" w:type="dxa"/>
            </w:tcMar>
          </w:tcPr>
          <w:p w14:paraId="7D10B195" w14:textId="77777777" w:rsidR="00F05176" w:rsidRPr="005A04D4" w:rsidRDefault="00F05176" w:rsidP="00EB351C">
            <w:pPr>
              <w:spacing w:after="0"/>
              <w:rPr>
                <w:rFonts w:cs="Arial"/>
                <w:b/>
                <w:bCs/>
              </w:rPr>
            </w:pPr>
            <w:r w:rsidRPr="293128C8">
              <w:rPr>
                <w:rFonts w:cs="Arial"/>
                <w:b/>
                <w:bCs/>
                <w:color w:val="0D0D0D" w:themeColor="text1" w:themeTint="F2"/>
              </w:rPr>
              <w:t>Estimated impact: Did you meet the success criteria? Include impact on pupils not eligible for PP, if appropriate.</w:t>
            </w:r>
          </w:p>
        </w:tc>
      </w:tr>
      <w:tr w:rsidR="00F05176" w:rsidRPr="00EA4CF9" w14:paraId="44B4D707" w14:textId="77777777" w:rsidTr="00F05176">
        <w:trPr>
          <w:trHeight w:val="1851"/>
        </w:trPr>
        <w:tc>
          <w:tcPr>
            <w:tcW w:w="2026" w:type="dxa"/>
            <w:tcMar>
              <w:top w:w="57" w:type="dxa"/>
              <w:bottom w:w="57" w:type="dxa"/>
            </w:tcMar>
          </w:tcPr>
          <w:p w14:paraId="4F202264"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t>Attendance and Punctuality issues</w:t>
            </w:r>
          </w:p>
          <w:p w14:paraId="1ED42D8C"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t>And</w:t>
            </w:r>
          </w:p>
          <w:p w14:paraId="4CE417D2"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t>Poor mental health and wellbeing</w:t>
            </w:r>
          </w:p>
          <w:p w14:paraId="2C1C5C48" w14:textId="77777777" w:rsidR="00F05176" w:rsidRPr="293128C8" w:rsidRDefault="00F05176" w:rsidP="00F05176">
            <w:pPr>
              <w:pStyle w:val="TableRowCentered"/>
              <w:spacing w:line="259" w:lineRule="auto"/>
              <w:ind w:left="0"/>
              <w:jc w:val="left"/>
              <w:rPr>
                <w:rFonts w:cs="Arial"/>
                <w:color w:val="0D0D0D" w:themeColor="text1" w:themeTint="F2"/>
                <w:sz w:val="18"/>
                <w:szCs w:val="18"/>
              </w:rPr>
            </w:pPr>
          </w:p>
        </w:tc>
        <w:tc>
          <w:tcPr>
            <w:tcW w:w="2989" w:type="dxa"/>
            <w:tcMar>
              <w:top w:w="57" w:type="dxa"/>
              <w:bottom w:w="57" w:type="dxa"/>
            </w:tcMar>
          </w:tcPr>
          <w:p w14:paraId="570CF5FE" w14:textId="6572A376" w:rsidR="00F05176" w:rsidRPr="293128C8" w:rsidRDefault="00F05176" w:rsidP="00F05176">
            <w:pPr>
              <w:pStyle w:val="TableRow"/>
              <w:rPr>
                <w:rFonts w:cs="Arial"/>
                <w:color w:val="0D0D0D" w:themeColor="text1" w:themeTint="F2"/>
                <w:sz w:val="18"/>
                <w:szCs w:val="18"/>
              </w:rPr>
            </w:pPr>
            <w:r w:rsidRPr="293128C8">
              <w:rPr>
                <w:rFonts w:cs="Arial"/>
                <w:color w:val="0D0D0D" w:themeColor="text1" w:themeTint="F2"/>
                <w:sz w:val="18"/>
                <w:szCs w:val="18"/>
              </w:rPr>
              <w:t xml:space="preserve">Breakfast Club </w:t>
            </w:r>
          </w:p>
        </w:tc>
        <w:tc>
          <w:tcPr>
            <w:tcW w:w="5154" w:type="dxa"/>
            <w:tcMar>
              <w:top w:w="57" w:type="dxa"/>
              <w:bottom w:w="57" w:type="dxa"/>
            </w:tcMar>
          </w:tcPr>
          <w:p w14:paraId="27460830" w14:textId="33A3C9F2" w:rsidR="00F05176" w:rsidRDefault="00CD0AA9" w:rsidP="00F05176">
            <w:pPr>
              <w:pStyle w:val="TableRowCentered"/>
              <w:jc w:val="left"/>
              <w:rPr>
                <w:rFonts w:cs="Arial"/>
                <w:color w:val="0D0D0D" w:themeColor="text1" w:themeTint="F2"/>
                <w:sz w:val="18"/>
                <w:szCs w:val="18"/>
              </w:rPr>
            </w:pPr>
            <w:r w:rsidRPr="00CD0AA9">
              <w:rPr>
                <w:rFonts w:cs="Arial"/>
                <w:color w:val="0D0D0D" w:themeColor="text1" w:themeTint="F2"/>
                <w:sz w:val="18"/>
                <w:szCs w:val="18"/>
              </w:rPr>
              <w:t>Breakfast clubs that offer pupils in primary schools a free and nutritious meal before school can boost their reading, writing and maths results by the equivalent of two months’ progress over the course of a year, according to the results of a randomised controlled trial published by the Education Endowment Foundation</w:t>
            </w:r>
            <w:r>
              <w:rPr>
                <w:rFonts w:cs="Arial"/>
                <w:color w:val="0D0D0D" w:themeColor="text1" w:themeTint="F2"/>
                <w:sz w:val="18"/>
                <w:szCs w:val="18"/>
              </w:rPr>
              <w:t xml:space="preserve">. </w:t>
            </w:r>
            <w:r w:rsidRPr="00CD0AA9">
              <w:rPr>
                <w:rFonts w:cs="Arial"/>
                <w:color w:val="0D0D0D" w:themeColor="text1" w:themeTint="F2"/>
                <w:sz w:val="18"/>
                <w:szCs w:val="18"/>
              </w:rPr>
              <w:t>The evaluators reported that the pupils’ concentration and behaviour improved too</w:t>
            </w:r>
            <w:r>
              <w:rPr>
                <w:rFonts w:cs="Arial"/>
                <w:color w:val="0D0D0D" w:themeColor="text1" w:themeTint="F2"/>
                <w:sz w:val="18"/>
                <w:szCs w:val="18"/>
              </w:rPr>
              <w:t xml:space="preserve">. At St Mark’s we have anecdotal evidence that our </w:t>
            </w:r>
            <w:proofErr w:type="gramStart"/>
            <w:r>
              <w:rPr>
                <w:rFonts w:cs="Arial"/>
                <w:color w:val="0D0D0D" w:themeColor="text1" w:themeTint="F2"/>
                <w:sz w:val="18"/>
                <w:szCs w:val="18"/>
              </w:rPr>
              <w:t>pupils</w:t>
            </w:r>
            <w:proofErr w:type="gramEnd"/>
            <w:r>
              <w:rPr>
                <w:rFonts w:cs="Arial"/>
                <w:color w:val="0D0D0D" w:themeColor="text1" w:themeTint="F2"/>
                <w:sz w:val="18"/>
                <w:szCs w:val="18"/>
              </w:rPr>
              <w:t xml:space="preserve"> concentration and focus improved due to attendance at a breakfast club. We intend</w:t>
            </w:r>
            <w:r w:rsidR="00846B85">
              <w:rPr>
                <w:rFonts w:cs="Arial"/>
                <w:color w:val="0D0D0D" w:themeColor="text1" w:themeTint="F2"/>
                <w:sz w:val="18"/>
                <w:szCs w:val="18"/>
              </w:rPr>
              <w:t xml:space="preserve"> to measure impact next year of this.</w:t>
            </w:r>
          </w:p>
        </w:tc>
      </w:tr>
      <w:tr w:rsidR="00F05176" w:rsidRPr="00EA4CF9" w14:paraId="3928734C" w14:textId="77777777" w:rsidTr="00F05176">
        <w:trPr>
          <w:trHeight w:val="1851"/>
        </w:trPr>
        <w:tc>
          <w:tcPr>
            <w:tcW w:w="2026" w:type="dxa"/>
            <w:tcMar>
              <w:top w:w="57" w:type="dxa"/>
              <w:bottom w:w="57" w:type="dxa"/>
            </w:tcMar>
          </w:tcPr>
          <w:p w14:paraId="1190C1C7"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lastRenderedPageBreak/>
              <w:t>Attendance and Punctuality issues</w:t>
            </w:r>
          </w:p>
          <w:p w14:paraId="7966AC48"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t>And</w:t>
            </w:r>
          </w:p>
          <w:p w14:paraId="72EC40D0" w14:textId="77777777" w:rsidR="00F05176" w:rsidRDefault="00F05176" w:rsidP="00F05176">
            <w:pPr>
              <w:pStyle w:val="TableRowCentered"/>
              <w:spacing w:line="259" w:lineRule="auto"/>
              <w:ind w:left="0"/>
              <w:jc w:val="left"/>
              <w:rPr>
                <w:rFonts w:cs="Arial"/>
                <w:sz w:val="18"/>
                <w:szCs w:val="18"/>
              </w:rPr>
            </w:pPr>
            <w:r w:rsidRPr="293128C8">
              <w:rPr>
                <w:rFonts w:cs="Arial"/>
                <w:color w:val="0D0D0D" w:themeColor="text1" w:themeTint="F2"/>
                <w:sz w:val="18"/>
                <w:szCs w:val="18"/>
              </w:rPr>
              <w:t>Poor mental health and wellbeing</w:t>
            </w:r>
          </w:p>
          <w:p w14:paraId="5DFD8312" w14:textId="77777777" w:rsidR="00F05176" w:rsidRDefault="00F05176" w:rsidP="00F05176">
            <w:pPr>
              <w:pStyle w:val="TableRowCentered"/>
              <w:ind w:left="0"/>
              <w:jc w:val="left"/>
              <w:rPr>
                <w:rFonts w:cs="Arial"/>
                <w:sz w:val="18"/>
                <w:szCs w:val="18"/>
              </w:rPr>
            </w:pPr>
          </w:p>
        </w:tc>
        <w:tc>
          <w:tcPr>
            <w:tcW w:w="2989" w:type="dxa"/>
            <w:tcMar>
              <w:top w:w="57" w:type="dxa"/>
              <w:bottom w:w="57" w:type="dxa"/>
            </w:tcMar>
          </w:tcPr>
          <w:p w14:paraId="619A37C2" w14:textId="7D9554EE" w:rsidR="00F05176" w:rsidRDefault="00F05176" w:rsidP="00F05176">
            <w:pPr>
              <w:pStyle w:val="TableRow"/>
              <w:rPr>
                <w:rFonts w:cs="Arial"/>
                <w:sz w:val="18"/>
                <w:szCs w:val="18"/>
              </w:rPr>
            </w:pPr>
            <w:r>
              <w:rPr>
                <w:rFonts w:cs="Arial"/>
                <w:sz w:val="18"/>
                <w:szCs w:val="18"/>
              </w:rPr>
              <w:t>After School Club</w:t>
            </w:r>
          </w:p>
        </w:tc>
        <w:tc>
          <w:tcPr>
            <w:tcW w:w="5154" w:type="dxa"/>
            <w:tcMar>
              <w:top w:w="57" w:type="dxa"/>
              <w:bottom w:w="57" w:type="dxa"/>
            </w:tcMar>
          </w:tcPr>
          <w:p w14:paraId="7459EEBB" w14:textId="092AE5CD" w:rsidR="00F05176" w:rsidRDefault="00846B85" w:rsidP="00846B85">
            <w:pPr>
              <w:pStyle w:val="TableRowCentered"/>
              <w:jc w:val="left"/>
              <w:rPr>
                <w:rFonts w:cs="Arial"/>
                <w:sz w:val="18"/>
                <w:szCs w:val="18"/>
              </w:rPr>
            </w:pPr>
            <w:r>
              <w:rPr>
                <w:rFonts w:cs="Arial"/>
                <w:sz w:val="18"/>
                <w:szCs w:val="18"/>
              </w:rPr>
              <w:t>Pupils benefitted from improved</w:t>
            </w:r>
            <w:r w:rsidRPr="00846B85">
              <w:rPr>
                <w:rFonts w:cs="Arial"/>
                <w:sz w:val="18"/>
                <w:szCs w:val="18"/>
              </w:rPr>
              <w:t xml:space="preserve"> physical health through diet and exercise</w:t>
            </w:r>
            <w:r>
              <w:rPr>
                <w:rFonts w:cs="Arial"/>
                <w:sz w:val="18"/>
                <w:szCs w:val="18"/>
              </w:rPr>
              <w:t xml:space="preserve">, </w:t>
            </w:r>
            <w:proofErr w:type="gramStart"/>
            <w:r w:rsidRPr="00846B85">
              <w:rPr>
                <w:rFonts w:cs="Arial"/>
                <w:sz w:val="18"/>
                <w:szCs w:val="18"/>
              </w:rPr>
              <w:t>Improved</w:t>
            </w:r>
            <w:proofErr w:type="gramEnd"/>
            <w:r w:rsidRPr="00846B85">
              <w:rPr>
                <w:rFonts w:cs="Arial"/>
                <w:sz w:val="18"/>
                <w:szCs w:val="18"/>
              </w:rPr>
              <w:t xml:space="preserve"> mental health and behaviour</w:t>
            </w:r>
            <w:r>
              <w:rPr>
                <w:rFonts w:cs="Arial"/>
                <w:sz w:val="18"/>
                <w:szCs w:val="18"/>
              </w:rPr>
              <w:t>, b</w:t>
            </w:r>
            <w:r w:rsidRPr="00846B85">
              <w:rPr>
                <w:rFonts w:cs="Arial"/>
                <w:sz w:val="18"/>
                <w:szCs w:val="18"/>
              </w:rPr>
              <w:t>etter academic performance</w:t>
            </w:r>
            <w:r>
              <w:rPr>
                <w:rFonts w:cs="Arial"/>
                <w:sz w:val="18"/>
                <w:szCs w:val="18"/>
              </w:rPr>
              <w:t xml:space="preserve"> and i</w:t>
            </w:r>
            <w:r w:rsidRPr="00846B85">
              <w:rPr>
                <w:rFonts w:cs="Arial"/>
                <w:sz w:val="18"/>
                <w:szCs w:val="18"/>
              </w:rPr>
              <w:t>ncreased social skills and confidence</w:t>
            </w:r>
            <w:r>
              <w:rPr>
                <w:rFonts w:cs="Arial"/>
                <w:sz w:val="18"/>
                <w:szCs w:val="18"/>
              </w:rPr>
              <w:t>. The h</w:t>
            </w:r>
            <w:r w:rsidR="00F05176">
              <w:rPr>
                <w:rFonts w:cs="Arial"/>
                <w:sz w:val="18"/>
                <w:szCs w:val="18"/>
              </w:rPr>
              <w:t xml:space="preserve">ome life </w:t>
            </w:r>
            <w:r>
              <w:rPr>
                <w:rFonts w:cs="Arial"/>
                <w:sz w:val="18"/>
                <w:szCs w:val="18"/>
              </w:rPr>
              <w:t xml:space="preserve">is </w:t>
            </w:r>
            <w:r w:rsidR="00F05176">
              <w:rPr>
                <w:rFonts w:cs="Arial"/>
                <w:sz w:val="18"/>
                <w:szCs w:val="18"/>
              </w:rPr>
              <w:t>supported for pupils</w:t>
            </w:r>
          </w:p>
        </w:tc>
      </w:tr>
      <w:tr w:rsidR="00F05176" w:rsidRPr="00EA4CF9" w14:paraId="2A06EE3B" w14:textId="77777777" w:rsidTr="00F05176">
        <w:trPr>
          <w:trHeight w:hRule="exact" w:val="1399"/>
        </w:trPr>
        <w:tc>
          <w:tcPr>
            <w:tcW w:w="2026" w:type="dxa"/>
            <w:tcMar>
              <w:top w:w="57" w:type="dxa"/>
              <w:bottom w:w="57" w:type="dxa"/>
            </w:tcMar>
          </w:tcPr>
          <w:p w14:paraId="1F7719E8" w14:textId="77777777" w:rsidR="00F05176" w:rsidRPr="00B479F2" w:rsidRDefault="00F05176" w:rsidP="00F05176">
            <w:pPr>
              <w:spacing w:after="0" w:line="240" w:lineRule="auto"/>
              <w:rPr>
                <w:rFonts w:cs="Arial"/>
                <w:sz w:val="18"/>
                <w:szCs w:val="18"/>
              </w:rPr>
            </w:pPr>
            <w:r w:rsidRPr="293128C8">
              <w:rPr>
                <w:rFonts w:cs="Arial"/>
                <w:color w:val="0D0D0D" w:themeColor="text1" w:themeTint="F2"/>
                <w:sz w:val="18"/>
                <w:szCs w:val="18"/>
              </w:rPr>
              <w:t>Lower attainment and progress due to COVID-19 than before the pandemic</w:t>
            </w:r>
          </w:p>
          <w:p w14:paraId="37298DCF" w14:textId="77777777" w:rsidR="00F05176" w:rsidRPr="00B479F2" w:rsidRDefault="00F05176" w:rsidP="00F05176">
            <w:pPr>
              <w:spacing w:after="0"/>
              <w:rPr>
                <w:rFonts w:cs="Arial"/>
                <w:sz w:val="18"/>
                <w:szCs w:val="18"/>
              </w:rPr>
            </w:pPr>
          </w:p>
        </w:tc>
        <w:tc>
          <w:tcPr>
            <w:tcW w:w="2989" w:type="dxa"/>
            <w:tcMar>
              <w:top w:w="57" w:type="dxa"/>
              <w:bottom w:w="57" w:type="dxa"/>
            </w:tcMar>
          </w:tcPr>
          <w:p w14:paraId="5031FE56" w14:textId="77777777" w:rsidR="00F05176" w:rsidRDefault="00F05176" w:rsidP="00F05176">
            <w:pPr>
              <w:pStyle w:val="TableRow"/>
              <w:rPr>
                <w:rFonts w:cs="Arial"/>
                <w:sz w:val="18"/>
                <w:szCs w:val="18"/>
              </w:rPr>
            </w:pPr>
            <w:r w:rsidRPr="293128C8">
              <w:rPr>
                <w:rFonts w:cs="Arial"/>
                <w:color w:val="0D0D0D" w:themeColor="text1" w:themeTint="F2"/>
                <w:sz w:val="18"/>
                <w:szCs w:val="18"/>
              </w:rPr>
              <w:t>Tutoring</w:t>
            </w:r>
          </w:p>
        </w:tc>
        <w:tc>
          <w:tcPr>
            <w:tcW w:w="5154" w:type="dxa"/>
            <w:tcMar>
              <w:top w:w="57" w:type="dxa"/>
              <w:bottom w:w="57" w:type="dxa"/>
            </w:tcMar>
          </w:tcPr>
          <w:p w14:paraId="28F715AA" w14:textId="241590F2" w:rsidR="00F05176" w:rsidRDefault="00F05176" w:rsidP="00F05176">
            <w:pPr>
              <w:pStyle w:val="TableRowCentered"/>
              <w:spacing w:line="259" w:lineRule="auto"/>
              <w:jc w:val="left"/>
              <w:rPr>
                <w:rFonts w:cs="Arial"/>
                <w:color w:val="0D0D0D" w:themeColor="text1" w:themeTint="F2"/>
                <w:sz w:val="18"/>
                <w:szCs w:val="18"/>
              </w:rPr>
            </w:pPr>
            <w:r>
              <w:rPr>
                <w:rFonts w:cs="Arial"/>
                <w:color w:val="0D0D0D" w:themeColor="text1" w:themeTint="F2"/>
                <w:sz w:val="18"/>
                <w:szCs w:val="18"/>
              </w:rPr>
              <w:t>Pupils given 1:1 tutoring in the summer term from trained teachers</w:t>
            </w:r>
          </w:p>
        </w:tc>
      </w:tr>
      <w:tr w:rsidR="00F05176" w14:paraId="3CC1143E" w14:textId="77777777" w:rsidTr="00EB351C">
        <w:trPr>
          <w:trHeight w:val="481"/>
        </w:trPr>
        <w:tc>
          <w:tcPr>
            <w:tcW w:w="10169" w:type="dxa"/>
            <w:gridSpan w:val="3"/>
            <w:shd w:val="clear" w:color="auto" w:fill="BFBFBF" w:themeFill="background1" w:themeFillShade="BF"/>
            <w:tcMar>
              <w:top w:w="57" w:type="dxa"/>
              <w:bottom w:w="57" w:type="dxa"/>
            </w:tcMar>
          </w:tcPr>
          <w:p w14:paraId="20FA48A1" w14:textId="77777777" w:rsidR="00F05176" w:rsidRDefault="00F05176" w:rsidP="00F05176">
            <w:pPr>
              <w:rPr>
                <w:rFonts w:cs="Arial"/>
                <w:b/>
                <w:bCs/>
                <w:color w:val="0D0D0D" w:themeColor="text1" w:themeTint="F2"/>
              </w:rPr>
            </w:pPr>
            <w:r w:rsidRPr="293128C8">
              <w:rPr>
                <w:rFonts w:cs="Arial"/>
                <w:b/>
                <w:bCs/>
                <w:color w:val="0D0D0D" w:themeColor="text1" w:themeTint="F2"/>
              </w:rPr>
              <w:t>Other approaches</w:t>
            </w:r>
          </w:p>
        </w:tc>
      </w:tr>
      <w:tr w:rsidR="00F05176" w:rsidRPr="00EA4CF9" w14:paraId="6532F7E7" w14:textId="77777777" w:rsidTr="00F05176">
        <w:trPr>
          <w:trHeight w:val="1092"/>
        </w:trPr>
        <w:tc>
          <w:tcPr>
            <w:tcW w:w="2026" w:type="dxa"/>
            <w:tcMar>
              <w:top w:w="57" w:type="dxa"/>
              <w:bottom w:w="57" w:type="dxa"/>
            </w:tcMar>
          </w:tcPr>
          <w:p w14:paraId="56325A80" w14:textId="77777777" w:rsidR="00F05176" w:rsidRPr="000A25FC" w:rsidRDefault="00F05176" w:rsidP="00F05176">
            <w:pPr>
              <w:spacing w:after="0"/>
              <w:rPr>
                <w:rFonts w:cs="Arial"/>
                <w:b/>
                <w:bCs/>
                <w:color w:val="0D0D0D" w:themeColor="text1" w:themeTint="F2"/>
              </w:rPr>
            </w:pPr>
            <w:r w:rsidRPr="293128C8">
              <w:rPr>
                <w:rFonts w:cs="Arial"/>
                <w:b/>
                <w:bCs/>
                <w:color w:val="0D0D0D" w:themeColor="text1" w:themeTint="F2"/>
              </w:rPr>
              <w:t>Desired outcome</w:t>
            </w:r>
          </w:p>
        </w:tc>
        <w:tc>
          <w:tcPr>
            <w:tcW w:w="2989" w:type="dxa"/>
            <w:tcMar>
              <w:top w:w="57" w:type="dxa"/>
              <w:bottom w:w="57" w:type="dxa"/>
            </w:tcMar>
          </w:tcPr>
          <w:p w14:paraId="64C6C161" w14:textId="77777777" w:rsidR="00F05176" w:rsidRPr="000A25FC" w:rsidRDefault="00F05176" w:rsidP="00F05176">
            <w:pPr>
              <w:spacing w:after="0"/>
              <w:rPr>
                <w:rFonts w:cs="Arial"/>
                <w:b/>
                <w:bCs/>
                <w:color w:val="0D0D0D" w:themeColor="text1" w:themeTint="F2"/>
              </w:rPr>
            </w:pPr>
            <w:r w:rsidRPr="293128C8">
              <w:rPr>
                <w:rFonts w:cs="Arial"/>
                <w:b/>
                <w:bCs/>
                <w:color w:val="0D0D0D" w:themeColor="text1" w:themeTint="F2"/>
              </w:rPr>
              <w:t>Chosen action / approach</w:t>
            </w:r>
          </w:p>
        </w:tc>
        <w:tc>
          <w:tcPr>
            <w:tcW w:w="5154" w:type="dxa"/>
            <w:tcMar>
              <w:top w:w="57" w:type="dxa"/>
              <w:bottom w:w="57" w:type="dxa"/>
            </w:tcMar>
          </w:tcPr>
          <w:p w14:paraId="37F5A11F" w14:textId="77777777" w:rsidR="00F05176" w:rsidRPr="005A04D4" w:rsidRDefault="00F05176" w:rsidP="00F05176">
            <w:pPr>
              <w:spacing w:after="0"/>
              <w:rPr>
                <w:rFonts w:cs="Arial"/>
                <w:b/>
                <w:bCs/>
                <w:color w:val="0D0D0D" w:themeColor="text1" w:themeTint="F2"/>
              </w:rPr>
            </w:pPr>
            <w:r w:rsidRPr="293128C8">
              <w:rPr>
                <w:rFonts w:cs="Arial"/>
                <w:b/>
                <w:bCs/>
                <w:color w:val="0D0D0D" w:themeColor="text1" w:themeTint="F2"/>
              </w:rPr>
              <w:t>Estimated impact: Did you meet the success criteria? Include impact on pupils not eligible for PP, if appropriate.</w:t>
            </w:r>
          </w:p>
        </w:tc>
      </w:tr>
      <w:tr w:rsidR="00F05176" w:rsidRPr="00EA4CF9" w14:paraId="3350E2E7" w14:textId="77777777" w:rsidTr="00F05176">
        <w:trPr>
          <w:trHeight w:val="1429"/>
        </w:trPr>
        <w:tc>
          <w:tcPr>
            <w:tcW w:w="2026" w:type="dxa"/>
            <w:tcMar>
              <w:top w:w="57" w:type="dxa"/>
              <w:bottom w:w="57" w:type="dxa"/>
            </w:tcMar>
          </w:tcPr>
          <w:p w14:paraId="0A463835" w14:textId="77777777" w:rsidR="00F05176" w:rsidRPr="00E20F63" w:rsidRDefault="00F05176" w:rsidP="00F05176">
            <w:pPr>
              <w:pStyle w:val="TableRowCentered"/>
              <w:spacing w:line="259" w:lineRule="auto"/>
              <w:ind w:left="0"/>
              <w:jc w:val="left"/>
              <w:rPr>
                <w:rFonts w:cs="Arial"/>
                <w:color w:val="000000" w:themeColor="text1"/>
                <w:sz w:val="18"/>
                <w:szCs w:val="18"/>
              </w:rPr>
            </w:pPr>
            <w:r w:rsidRPr="7662AE92">
              <w:rPr>
                <w:rFonts w:cs="Arial"/>
                <w:color w:val="000000" w:themeColor="text1"/>
                <w:sz w:val="18"/>
                <w:szCs w:val="18"/>
              </w:rPr>
              <w:t>Attendance and Punctuality issues and</w:t>
            </w:r>
          </w:p>
          <w:p w14:paraId="42E70E57" w14:textId="77777777" w:rsidR="00F05176" w:rsidRPr="00E20F63" w:rsidRDefault="00F05176" w:rsidP="00F05176">
            <w:pPr>
              <w:spacing w:after="0"/>
              <w:rPr>
                <w:rFonts w:cs="Arial"/>
                <w:sz w:val="18"/>
                <w:szCs w:val="18"/>
              </w:rPr>
            </w:pPr>
            <w:r w:rsidRPr="7662AE92">
              <w:rPr>
                <w:rFonts w:cs="Arial"/>
                <w:color w:val="000000" w:themeColor="text1"/>
                <w:sz w:val="18"/>
                <w:szCs w:val="18"/>
              </w:rPr>
              <w:t>Poor mental health and wellbeing</w:t>
            </w:r>
          </w:p>
        </w:tc>
        <w:tc>
          <w:tcPr>
            <w:tcW w:w="2989" w:type="dxa"/>
            <w:tcMar>
              <w:top w:w="57" w:type="dxa"/>
              <w:bottom w:w="57" w:type="dxa"/>
            </w:tcMar>
          </w:tcPr>
          <w:p w14:paraId="351DE537" w14:textId="0B0456EF" w:rsidR="00F05176" w:rsidRDefault="00F05176" w:rsidP="00F05176">
            <w:pPr>
              <w:pStyle w:val="TableRow"/>
              <w:rPr>
                <w:rFonts w:cs="Arial"/>
                <w:color w:val="0D0D0D" w:themeColor="text1" w:themeTint="F2"/>
                <w:sz w:val="18"/>
                <w:szCs w:val="18"/>
              </w:rPr>
            </w:pPr>
            <w:r w:rsidRPr="293128C8">
              <w:rPr>
                <w:rFonts w:cs="Arial"/>
                <w:color w:val="0D0D0D" w:themeColor="text1" w:themeTint="F2"/>
                <w:sz w:val="18"/>
                <w:szCs w:val="18"/>
              </w:rPr>
              <w:t>Music</w:t>
            </w:r>
            <w:r>
              <w:rPr>
                <w:rFonts w:cs="Arial"/>
                <w:color w:val="0D0D0D" w:themeColor="text1" w:themeTint="F2"/>
                <w:sz w:val="18"/>
                <w:szCs w:val="18"/>
              </w:rPr>
              <w:t xml:space="preserve"> </w:t>
            </w:r>
            <w:r w:rsidRPr="293128C8">
              <w:rPr>
                <w:rFonts w:cs="Arial"/>
                <w:color w:val="0D0D0D" w:themeColor="text1" w:themeTint="F2"/>
                <w:sz w:val="18"/>
                <w:szCs w:val="18"/>
              </w:rPr>
              <w:t>lessons</w:t>
            </w:r>
          </w:p>
        </w:tc>
        <w:tc>
          <w:tcPr>
            <w:tcW w:w="5154" w:type="dxa"/>
            <w:tcMar>
              <w:top w:w="57" w:type="dxa"/>
              <w:bottom w:w="57" w:type="dxa"/>
            </w:tcMar>
          </w:tcPr>
          <w:p w14:paraId="56EF3F01" w14:textId="7E514338" w:rsidR="00F05176" w:rsidRDefault="00F05176" w:rsidP="00F05176">
            <w:pPr>
              <w:pStyle w:val="TableRowCentered"/>
              <w:jc w:val="left"/>
              <w:rPr>
                <w:rFonts w:cs="Arial"/>
                <w:color w:val="000000" w:themeColor="text1"/>
                <w:sz w:val="18"/>
                <w:szCs w:val="18"/>
              </w:rPr>
            </w:pPr>
            <w:r>
              <w:rPr>
                <w:rFonts w:cs="Arial"/>
                <w:color w:val="000000" w:themeColor="text1"/>
                <w:sz w:val="18"/>
                <w:szCs w:val="18"/>
              </w:rPr>
              <w:t>P</w:t>
            </w:r>
            <w:r w:rsidRPr="7662AE92">
              <w:rPr>
                <w:rFonts w:cs="Arial"/>
                <w:color w:val="000000" w:themeColor="text1"/>
                <w:sz w:val="18"/>
                <w:szCs w:val="18"/>
              </w:rPr>
              <w:t>upils accessed music</w:t>
            </w:r>
            <w:r>
              <w:rPr>
                <w:rFonts w:cs="Arial"/>
                <w:color w:val="000000" w:themeColor="text1"/>
                <w:sz w:val="18"/>
                <w:szCs w:val="18"/>
              </w:rPr>
              <w:t xml:space="preserve"> </w:t>
            </w:r>
            <w:r w:rsidRPr="7662AE92">
              <w:rPr>
                <w:rFonts w:cs="Arial"/>
                <w:color w:val="000000" w:themeColor="text1"/>
                <w:sz w:val="18"/>
                <w:szCs w:val="18"/>
              </w:rPr>
              <w:t>lessons</w:t>
            </w:r>
            <w:r>
              <w:rPr>
                <w:rFonts w:cs="Arial"/>
                <w:color w:val="000000" w:themeColor="text1"/>
                <w:sz w:val="18"/>
                <w:szCs w:val="18"/>
              </w:rPr>
              <w:t xml:space="preserve"> providing them with </w:t>
            </w:r>
            <w:r w:rsidRPr="00F05176">
              <w:rPr>
                <w:rFonts w:cs="Arial"/>
                <w:color w:val="000000" w:themeColor="text1"/>
                <w:sz w:val="18"/>
                <w:szCs w:val="18"/>
              </w:rPr>
              <w:t>an accessible learning environment while also supporting their language and communication skills.</w:t>
            </w:r>
          </w:p>
        </w:tc>
      </w:tr>
      <w:tr w:rsidR="00F05176" w14:paraId="7C4ABD09" w14:textId="77777777" w:rsidTr="00F05176">
        <w:trPr>
          <w:trHeight w:val="1849"/>
        </w:trPr>
        <w:tc>
          <w:tcPr>
            <w:tcW w:w="2026" w:type="dxa"/>
            <w:tcMar>
              <w:top w:w="57" w:type="dxa"/>
              <w:bottom w:w="57" w:type="dxa"/>
            </w:tcMar>
          </w:tcPr>
          <w:p w14:paraId="268D7324" w14:textId="77777777" w:rsidR="00F05176" w:rsidRDefault="00F05176" w:rsidP="00F05176">
            <w:pPr>
              <w:rPr>
                <w:rFonts w:cs="Arial"/>
                <w:sz w:val="18"/>
                <w:szCs w:val="18"/>
              </w:rPr>
            </w:pPr>
            <w:r w:rsidRPr="293128C8">
              <w:rPr>
                <w:rFonts w:cs="Arial"/>
                <w:color w:val="0D0D0D" w:themeColor="text1" w:themeTint="F2"/>
                <w:sz w:val="18"/>
                <w:szCs w:val="18"/>
              </w:rPr>
              <w:t>Poor mental health and wellbeing</w:t>
            </w:r>
          </w:p>
        </w:tc>
        <w:tc>
          <w:tcPr>
            <w:tcW w:w="2989" w:type="dxa"/>
            <w:tcMar>
              <w:top w:w="57" w:type="dxa"/>
              <w:bottom w:w="57" w:type="dxa"/>
            </w:tcMar>
          </w:tcPr>
          <w:p w14:paraId="1B8700AD" w14:textId="2D6AB2E5" w:rsidR="00F05176" w:rsidRDefault="00F05176" w:rsidP="00F05176">
            <w:pPr>
              <w:pStyle w:val="TableRow"/>
              <w:rPr>
                <w:rFonts w:cs="Arial"/>
                <w:sz w:val="18"/>
                <w:szCs w:val="18"/>
              </w:rPr>
            </w:pPr>
            <w:r w:rsidRPr="7662AE92">
              <w:rPr>
                <w:rFonts w:cs="Arial"/>
                <w:color w:val="000000" w:themeColor="text1"/>
                <w:sz w:val="18"/>
                <w:szCs w:val="18"/>
              </w:rPr>
              <w:t xml:space="preserve">Well-being and attendance resources </w:t>
            </w:r>
          </w:p>
        </w:tc>
        <w:tc>
          <w:tcPr>
            <w:tcW w:w="5154" w:type="dxa"/>
            <w:tcMar>
              <w:top w:w="57" w:type="dxa"/>
              <w:bottom w:w="57" w:type="dxa"/>
            </w:tcMar>
          </w:tcPr>
          <w:p w14:paraId="2531A319" w14:textId="01128AFA" w:rsidR="00F05176" w:rsidRDefault="00F05176" w:rsidP="00F05176">
            <w:pPr>
              <w:pStyle w:val="TableRowCentered"/>
              <w:jc w:val="left"/>
              <w:rPr>
                <w:rFonts w:cs="Arial"/>
                <w:color w:val="000000" w:themeColor="text1"/>
                <w:sz w:val="18"/>
                <w:szCs w:val="18"/>
              </w:rPr>
            </w:pPr>
            <w:r w:rsidRPr="7662AE92">
              <w:rPr>
                <w:rFonts w:cs="Arial"/>
                <w:color w:val="000000" w:themeColor="text1"/>
                <w:sz w:val="18"/>
                <w:szCs w:val="18"/>
              </w:rPr>
              <w:t xml:space="preserve">Support was provided to pupils who were struggling to wear correct uniform </w:t>
            </w:r>
          </w:p>
        </w:tc>
      </w:tr>
      <w:tr w:rsidR="00F05176" w14:paraId="1049F31B" w14:textId="77777777" w:rsidTr="00F05176">
        <w:trPr>
          <w:trHeight w:val="1008"/>
        </w:trPr>
        <w:tc>
          <w:tcPr>
            <w:tcW w:w="2026" w:type="dxa"/>
            <w:tcMar>
              <w:top w:w="57" w:type="dxa"/>
              <w:bottom w:w="57" w:type="dxa"/>
            </w:tcMar>
          </w:tcPr>
          <w:p w14:paraId="5FA68678" w14:textId="77777777" w:rsidR="00F05176" w:rsidRDefault="00F05176" w:rsidP="00F05176">
            <w:pPr>
              <w:rPr>
                <w:rFonts w:cs="Arial"/>
                <w:sz w:val="18"/>
                <w:szCs w:val="18"/>
              </w:rPr>
            </w:pPr>
            <w:r w:rsidRPr="293128C8">
              <w:rPr>
                <w:rFonts w:cs="Arial"/>
                <w:color w:val="0D0D0D" w:themeColor="text1" w:themeTint="F2"/>
                <w:sz w:val="18"/>
                <w:szCs w:val="18"/>
              </w:rPr>
              <w:t>Poor mental health and wellbeing</w:t>
            </w:r>
          </w:p>
        </w:tc>
        <w:tc>
          <w:tcPr>
            <w:tcW w:w="2989" w:type="dxa"/>
            <w:tcMar>
              <w:top w:w="57" w:type="dxa"/>
              <w:bottom w:w="57" w:type="dxa"/>
            </w:tcMar>
          </w:tcPr>
          <w:p w14:paraId="12819E1C" w14:textId="660A611B" w:rsidR="00F05176" w:rsidRDefault="00F05176" w:rsidP="00F05176">
            <w:pPr>
              <w:pStyle w:val="TableRow"/>
              <w:rPr>
                <w:rFonts w:cs="Arial"/>
                <w:sz w:val="18"/>
                <w:szCs w:val="18"/>
              </w:rPr>
            </w:pPr>
            <w:r w:rsidRPr="293128C8">
              <w:rPr>
                <w:rFonts w:cs="Arial"/>
                <w:color w:val="0D0D0D" w:themeColor="text1" w:themeTint="F2"/>
                <w:sz w:val="18"/>
                <w:szCs w:val="18"/>
              </w:rPr>
              <w:t>Support to attend trips and events</w:t>
            </w:r>
          </w:p>
        </w:tc>
        <w:tc>
          <w:tcPr>
            <w:tcW w:w="5154" w:type="dxa"/>
            <w:tcMar>
              <w:top w:w="57" w:type="dxa"/>
              <w:bottom w:w="57" w:type="dxa"/>
            </w:tcMar>
          </w:tcPr>
          <w:p w14:paraId="119B5CF6" w14:textId="139C1626" w:rsidR="00F05176" w:rsidRDefault="00F05176" w:rsidP="00F05176">
            <w:pPr>
              <w:pStyle w:val="TableRowCentered"/>
              <w:jc w:val="left"/>
              <w:rPr>
                <w:rFonts w:cs="Arial"/>
                <w:color w:val="0D0D0D" w:themeColor="text1" w:themeTint="F2"/>
                <w:sz w:val="18"/>
                <w:szCs w:val="18"/>
              </w:rPr>
            </w:pPr>
            <w:r w:rsidRPr="293128C8">
              <w:rPr>
                <w:rFonts w:cs="Arial"/>
                <w:color w:val="0D0D0D" w:themeColor="text1" w:themeTint="F2"/>
                <w:sz w:val="18"/>
                <w:szCs w:val="18"/>
              </w:rPr>
              <w:t>This support ensured that all pupils were able to access rewards and trips. Pupils gained cultural capital and were not stigmatised for being unable to afford the events.</w:t>
            </w:r>
            <w:r w:rsidR="00CD0AA9">
              <w:rPr>
                <w:rFonts w:cs="Arial"/>
                <w:color w:val="0D0D0D" w:themeColor="text1" w:themeTint="F2"/>
                <w:sz w:val="18"/>
                <w:szCs w:val="18"/>
              </w:rPr>
              <w:t xml:space="preserve"> These included residentials and trips to the Theatre, Tullie House, Young Voices, Liverpool and Leighton Moss.</w:t>
            </w:r>
          </w:p>
        </w:tc>
      </w:tr>
      <w:tr w:rsidR="00F05176" w14:paraId="1EC6C125" w14:textId="77777777" w:rsidTr="00F05176">
        <w:trPr>
          <w:trHeight w:val="2693"/>
        </w:trPr>
        <w:tc>
          <w:tcPr>
            <w:tcW w:w="2026" w:type="dxa"/>
            <w:tcMar>
              <w:top w:w="57" w:type="dxa"/>
              <w:bottom w:w="57" w:type="dxa"/>
            </w:tcMar>
          </w:tcPr>
          <w:p w14:paraId="00000CF5" w14:textId="2988EEC8" w:rsidR="00F05176" w:rsidRDefault="00F05176" w:rsidP="00F05176">
            <w:pPr>
              <w:spacing w:after="0" w:line="240" w:lineRule="auto"/>
              <w:rPr>
                <w:rFonts w:cs="Arial"/>
                <w:sz w:val="18"/>
                <w:szCs w:val="18"/>
              </w:rPr>
            </w:pPr>
            <w:r w:rsidRPr="293128C8">
              <w:rPr>
                <w:rFonts w:cs="Arial"/>
                <w:color w:val="0D0D0D" w:themeColor="text1" w:themeTint="F2"/>
                <w:sz w:val="18"/>
                <w:szCs w:val="18"/>
              </w:rPr>
              <w:t>Weak Language and Communication skills including a lower reading age</w:t>
            </w:r>
            <w:r w:rsidR="00CD0AA9">
              <w:rPr>
                <w:rFonts w:cs="Arial"/>
                <w:color w:val="0D0D0D" w:themeColor="text1" w:themeTint="F2"/>
                <w:sz w:val="18"/>
                <w:szCs w:val="18"/>
              </w:rPr>
              <w:t xml:space="preserve"> a</w:t>
            </w:r>
            <w:r w:rsidRPr="293128C8">
              <w:rPr>
                <w:rFonts w:cs="Arial"/>
                <w:color w:val="0D0D0D" w:themeColor="text1" w:themeTint="F2"/>
                <w:sz w:val="18"/>
                <w:szCs w:val="18"/>
              </w:rPr>
              <w:t>nd</w:t>
            </w:r>
          </w:p>
          <w:p w14:paraId="1CFDC4AF" w14:textId="77777777" w:rsidR="00F05176" w:rsidRDefault="00F05176" w:rsidP="00F05176">
            <w:pPr>
              <w:rPr>
                <w:rFonts w:cs="Arial"/>
                <w:sz w:val="18"/>
                <w:szCs w:val="18"/>
              </w:rPr>
            </w:pPr>
            <w:r w:rsidRPr="293128C8">
              <w:rPr>
                <w:rFonts w:cs="Arial"/>
                <w:color w:val="0D0D0D" w:themeColor="text1" w:themeTint="F2"/>
                <w:sz w:val="18"/>
                <w:szCs w:val="18"/>
              </w:rPr>
              <w:t>Lower attainment and progress due to COVID-19 than before the pandemic</w:t>
            </w:r>
          </w:p>
          <w:p w14:paraId="4E6F3176" w14:textId="77777777" w:rsidR="00F05176" w:rsidRDefault="00F05176" w:rsidP="00F05176">
            <w:pPr>
              <w:rPr>
                <w:rFonts w:cs="Arial"/>
                <w:sz w:val="18"/>
                <w:szCs w:val="18"/>
              </w:rPr>
            </w:pPr>
          </w:p>
        </w:tc>
        <w:tc>
          <w:tcPr>
            <w:tcW w:w="2989" w:type="dxa"/>
            <w:tcMar>
              <w:top w:w="57" w:type="dxa"/>
              <w:bottom w:w="57" w:type="dxa"/>
            </w:tcMar>
          </w:tcPr>
          <w:p w14:paraId="1AC952DD" w14:textId="77777777" w:rsidR="00F05176" w:rsidRDefault="00F05176" w:rsidP="00F05176">
            <w:pPr>
              <w:rPr>
                <w:rFonts w:cs="Arial"/>
                <w:sz w:val="18"/>
                <w:szCs w:val="18"/>
              </w:rPr>
            </w:pPr>
            <w:r w:rsidRPr="293128C8">
              <w:rPr>
                <w:rFonts w:cs="Arial"/>
                <w:sz w:val="18"/>
                <w:szCs w:val="18"/>
              </w:rPr>
              <w:t>Additional support in classrooms</w:t>
            </w:r>
          </w:p>
        </w:tc>
        <w:tc>
          <w:tcPr>
            <w:tcW w:w="5154" w:type="dxa"/>
            <w:tcMar>
              <w:top w:w="57" w:type="dxa"/>
              <w:bottom w:w="57" w:type="dxa"/>
            </w:tcMar>
          </w:tcPr>
          <w:p w14:paraId="387C9757" w14:textId="373C3694" w:rsidR="00F05176" w:rsidRDefault="00F05176" w:rsidP="00F05176">
            <w:pPr>
              <w:rPr>
                <w:rFonts w:cs="Arial"/>
                <w:sz w:val="18"/>
                <w:szCs w:val="18"/>
              </w:rPr>
            </w:pPr>
            <w:r w:rsidRPr="293128C8">
              <w:rPr>
                <w:rFonts w:cs="Arial"/>
                <w:sz w:val="18"/>
                <w:szCs w:val="18"/>
              </w:rPr>
              <w:t xml:space="preserve">The use of additional support in classrooms was effective. Pupil were able to access 1:1 support in the moment and misconceptions clarified. Where this support was regular and pupils' attendance was good, a clear impact was seen. </w:t>
            </w:r>
          </w:p>
        </w:tc>
      </w:tr>
    </w:tbl>
    <w:p w14:paraId="53509010" w14:textId="77777777" w:rsidR="00F05176" w:rsidRPr="00F05176" w:rsidRDefault="00F05176" w:rsidP="00F05176"/>
    <w:p w14:paraId="2A7D5553" w14:textId="193B71B2" w:rsidR="00E66558" w:rsidRDefault="00E66558" w:rsidP="0008384B"/>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16F5" w14:textId="77777777" w:rsidR="000840D3" w:rsidRDefault="000840D3">
      <w:pPr>
        <w:spacing w:after="0" w:line="240" w:lineRule="auto"/>
      </w:pPr>
      <w:r>
        <w:separator/>
      </w:r>
    </w:p>
  </w:endnote>
  <w:endnote w:type="continuationSeparator" w:id="0">
    <w:p w14:paraId="3CA6CA48" w14:textId="77777777" w:rsidR="000840D3" w:rsidRDefault="000840D3">
      <w:pPr>
        <w:spacing w:after="0" w:line="240" w:lineRule="auto"/>
      </w:pPr>
      <w:r>
        <w:continuationSeparator/>
      </w:r>
    </w:p>
  </w:endnote>
  <w:endnote w:type="continuationNotice" w:id="1">
    <w:p w14:paraId="69C4BF54" w14:textId="77777777" w:rsidR="000840D3" w:rsidRDefault="00084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A747" w14:textId="77777777" w:rsidR="000840D3" w:rsidRDefault="000840D3">
      <w:pPr>
        <w:spacing w:after="0" w:line="240" w:lineRule="auto"/>
      </w:pPr>
      <w:r>
        <w:separator/>
      </w:r>
    </w:p>
  </w:footnote>
  <w:footnote w:type="continuationSeparator" w:id="0">
    <w:p w14:paraId="29BDB114" w14:textId="77777777" w:rsidR="000840D3" w:rsidRDefault="000840D3">
      <w:pPr>
        <w:spacing w:after="0" w:line="240" w:lineRule="auto"/>
      </w:pPr>
      <w:r>
        <w:continuationSeparator/>
      </w:r>
    </w:p>
  </w:footnote>
  <w:footnote w:type="continuationNotice" w:id="1">
    <w:p w14:paraId="29247CD0" w14:textId="77777777" w:rsidR="000840D3" w:rsidRDefault="00084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626"/>
    <w:multiLevelType w:val="hybridMultilevel"/>
    <w:tmpl w:val="AD90E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D226E7"/>
    <w:multiLevelType w:val="hybridMultilevel"/>
    <w:tmpl w:val="52C2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10E07"/>
    <w:multiLevelType w:val="multilevel"/>
    <w:tmpl w:val="A27A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A31842"/>
    <w:multiLevelType w:val="hybridMultilevel"/>
    <w:tmpl w:val="B0E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7"/>
  </w:num>
  <w:num w:numId="15">
    <w:abstractNumId w:val="1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840D3"/>
    <w:rsid w:val="000929EC"/>
    <w:rsid w:val="00093CDE"/>
    <w:rsid w:val="000A6379"/>
    <w:rsid w:val="000D22B0"/>
    <w:rsid w:val="000D35C9"/>
    <w:rsid w:val="000D520C"/>
    <w:rsid w:val="000D6596"/>
    <w:rsid w:val="000D6AB5"/>
    <w:rsid w:val="000E6DF0"/>
    <w:rsid w:val="001037CB"/>
    <w:rsid w:val="0010629E"/>
    <w:rsid w:val="00115538"/>
    <w:rsid w:val="00120AB1"/>
    <w:rsid w:val="00123A7F"/>
    <w:rsid w:val="001253B7"/>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C38DC"/>
    <w:rsid w:val="001E0ECA"/>
    <w:rsid w:val="001E206F"/>
    <w:rsid w:val="001E5750"/>
    <w:rsid w:val="001E7739"/>
    <w:rsid w:val="001F3DB4"/>
    <w:rsid w:val="00202A5B"/>
    <w:rsid w:val="00204F40"/>
    <w:rsid w:val="00205DEF"/>
    <w:rsid w:val="0021611C"/>
    <w:rsid w:val="00216C8A"/>
    <w:rsid w:val="00226317"/>
    <w:rsid w:val="00231539"/>
    <w:rsid w:val="00246B2D"/>
    <w:rsid w:val="002523E3"/>
    <w:rsid w:val="00266F55"/>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5C5D"/>
    <w:rsid w:val="006D6372"/>
    <w:rsid w:val="006D6E5C"/>
    <w:rsid w:val="006E02AF"/>
    <w:rsid w:val="006E0786"/>
    <w:rsid w:val="006E6B4A"/>
    <w:rsid w:val="006E7449"/>
    <w:rsid w:val="006E7FB1"/>
    <w:rsid w:val="006F2604"/>
    <w:rsid w:val="006F5319"/>
    <w:rsid w:val="006F55FD"/>
    <w:rsid w:val="006F5D21"/>
    <w:rsid w:val="00707DB7"/>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46B85"/>
    <w:rsid w:val="00860B07"/>
    <w:rsid w:val="008616F6"/>
    <w:rsid w:val="0086259C"/>
    <w:rsid w:val="00883F24"/>
    <w:rsid w:val="00897E1F"/>
    <w:rsid w:val="008B11EF"/>
    <w:rsid w:val="008B2CB4"/>
    <w:rsid w:val="008B6404"/>
    <w:rsid w:val="008C2C21"/>
    <w:rsid w:val="008C7DD3"/>
    <w:rsid w:val="008E000B"/>
    <w:rsid w:val="008E16CE"/>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94FC6"/>
    <w:rsid w:val="009A1DC2"/>
    <w:rsid w:val="009C0914"/>
    <w:rsid w:val="009C27E5"/>
    <w:rsid w:val="009D71E8"/>
    <w:rsid w:val="009E104B"/>
    <w:rsid w:val="009E7DE4"/>
    <w:rsid w:val="009F3BBD"/>
    <w:rsid w:val="00A063DD"/>
    <w:rsid w:val="00A112B5"/>
    <w:rsid w:val="00A14EEA"/>
    <w:rsid w:val="00A318CF"/>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29FB"/>
    <w:rsid w:val="00C25827"/>
    <w:rsid w:val="00C31BB8"/>
    <w:rsid w:val="00C373EA"/>
    <w:rsid w:val="00C621C1"/>
    <w:rsid w:val="00C62989"/>
    <w:rsid w:val="00C65CBB"/>
    <w:rsid w:val="00C80F37"/>
    <w:rsid w:val="00C97A7F"/>
    <w:rsid w:val="00CB5B17"/>
    <w:rsid w:val="00CC4443"/>
    <w:rsid w:val="00CC5CAF"/>
    <w:rsid w:val="00CD0AA9"/>
    <w:rsid w:val="00CF2900"/>
    <w:rsid w:val="00D06874"/>
    <w:rsid w:val="00D173F7"/>
    <w:rsid w:val="00D20203"/>
    <w:rsid w:val="00D204E0"/>
    <w:rsid w:val="00D21354"/>
    <w:rsid w:val="00D22400"/>
    <w:rsid w:val="00D26CB1"/>
    <w:rsid w:val="00D278BA"/>
    <w:rsid w:val="00D33FE5"/>
    <w:rsid w:val="00D3578A"/>
    <w:rsid w:val="00D4463C"/>
    <w:rsid w:val="00D501EE"/>
    <w:rsid w:val="00D517DC"/>
    <w:rsid w:val="00D5590D"/>
    <w:rsid w:val="00D618E4"/>
    <w:rsid w:val="00D61DA5"/>
    <w:rsid w:val="00D875ED"/>
    <w:rsid w:val="00D877D0"/>
    <w:rsid w:val="00D90013"/>
    <w:rsid w:val="00D90DF0"/>
    <w:rsid w:val="00D91B9C"/>
    <w:rsid w:val="00D92C1B"/>
    <w:rsid w:val="00D94CC7"/>
    <w:rsid w:val="00DA1AF4"/>
    <w:rsid w:val="00DB0C60"/>
    <w:rsid w:val="00DC4232"/>
    <w:rsid w:val="00DC641A"/>
    <w:rsid w:val="00DD6B7D"/>
    <w:rsid w:val="00DD6E14"/>
    <w:rsid w:val="00DE15AC"/>
    <w:rsid w:val="00E00F57"/>
    <w:rsid w:val="00E061EC"/>
    <w:rsid w:val="00E13E51"/>
    <w:rsid w:val="00E43EAD"/>
    <w:rsid w:val="00E47A02"/>
    <w:rsid w:val="00E62DCB"/>
    <w:rsid w:val="00E651DD"/>
    <w:rsid w:val="00E66558"/>
    <w:rsid w:val="00E70D81"/>
    <w:rsid w:val="00E726A6"/>
    <w:rsid w:val="00E86F05"/>
    <w:rsid w:val="00EA3A2A"/>
    <w:rsid w:val="00EB4556"/>
    <w:rsid w:val="00EB64C8"/>
    <w:rsid w:val="00ED5108"/>
    <w:rsid w:val="00F012CA"/>
    <w:rsid w:val="00F01752"/>
    <w:rsid w:val="00F0355A"/>
    <w:rsid w:val="00F05176"/>
    <w:rsid w:val="00F06118"/>
    <w:rsid w:val="00F24A7E"/>
    <w:rsid w:val="00F33DC0"/>
    <w:rsid w:val="00F62587"/>
    <w:rsid w:val="00F63E9E"/>
    <w:rsid w:val="00F76843"/>
    <w:rsid w:val="00F776E1"/>
    <w:rsid w:val="00F8176D"/>
    <w:rsid w:val="00F925EB"/>
    <w:rsid w:val="00FA6DD0"/>
    <w:rsid w:val="00FC28DF"/>
    <w:rsid w:val="00FE3136"/>
    <w:rsid w:val="00FE50A3"/>
    <w:rsid w:val="00FF0BED"/>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8B11EF"/>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328024331">
      <w:bodyDiv w:val="1"/>
      <w:marLeft w:val="0"/>
      <w:marRight w:val="0"/>
      <w:marTop w:val="0"/>
      <w:marBottom w:val="0"/>
      <w:divBdr>
        <w:top w:val="none" w:sz="0" w:space="0" w:color="auto"/>
        <w:left w:val="none" w:sz="0" w:space="0" w:color="auto"/>
        <w:bottom w:val="none" w:sz="0" w:space="0" w:color="auto"/>
        <w:right w:val="none" w:sz="0" w:space="0" w:color="auto"/>
      </w:divBdr>
    </w:div>
    <w:div w:id="21293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Head Teacher</cp:lastModifiedBy>
  <cp:revision>13</cp:revision>
  <cp:lastPrinted>2014-09-17T21:26:00Z</cp:lastPrinted>
  <dcterms:created xsi:type="dcterms:W3CDTF">2023-10-30T09:34:00Z</dcterms:created>
  <dcterms:modified xsi:type="dcterms:W3CDTF">2023-11-02T11:00:00Z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